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D0628" w14:textId="2212E778" w:rsidR="00BD2FD3" w:rsidRPr="00A855D9" w:rsidRDefault="003A0071">
      <w:pPr>
        <w:rPr>
          <w:b/>
          <w:u w:val="single"/>
        </w:rPr>
      </w:pPr>
      <w:r>
        <w:rPr>
          <w:b/>
          <w:u w:val="single"/>
        </w:rPr>
        <w:t>T</w:t>
      </w:r>
      <w:r w:rsidR="002912A2" w:rsidRPr="00A855D9">
        <w:rPr>
          <w:b/>
          <w:u w:val="single"/>
        </w:rPr>
        <w:t xml:space="preserve">he </w:t>
      </w:r>
      <w:r w:rsidR="004A1B94">
        <w:rPr>
          <w:b/>
          <w:u w:val="single"/>
        </w:rPr>
        <w:t xml:space="preserve">Parallels Between </w:t>
      </w:r>
      <w:r w:rsidR="00B327C6" w:rsidRPr="00A855D9">
        <w:rPr>
          <w:b/>
          <w:u w:val="single"/>
        </w:rPr>
        <w:t xml:space="preserve">Farm </w:t>
      </w:r>
      <w:r w:rsidR="00C578D1">
        <w:rPr>
          <w:b/>
          <w:u w:val="single"/>
        </w:rPr>
        <w:t>L</w:t>
      </w:r>
      <w:r w:rsidR="00B327C6" w:rsidRPr="00A855D9">
        <w:rPr>
          <w:b/>
          <w:u w:val="single"/>
        </w:rPr>
        <w:t xml:space="preserve">oan </w:t>
      </w:r>
      <w:r w:rsidR="00C578D1">
        <w:rPr>
          <w:b/>
          <w:u w:val="single"/>
        </w:rPr>
        <w:t>W</w:t>
      </w:r>
      <w:r w:rsidR="00B327C6" w:rsidRPr="00A855D9">
        <w:rPr>
          <w:b/>
          <w:u w:val="single"/>
        </w:rPr>
        <w:t>aivers</w:t>
      </w:r>
      <w:r w:rsidR="004A1B94">
        <w:rPr>
          <w:b/>
          <w:u w:val="single"/>
        </w:rPr>
        <w:t xml:space="preserve"> and Corporate NPAs</w:t>
      </w:r>
    </w:p>
    <w:p w14:paraId="6BA615A8" w14:textId="77777777" w:rsidR="00F654B5" w:rsidRPr="009E4442" w:rsidRDefault="00F654B5" w:rsidP="00F654B5">
      <w:pPr>
        <w:rPr>
          <w:b/>
          <w:i/>
          <w:color w:val="4472C4" w:themeColor="accent1"/>
        </w:rPr>
      </w:pPr>
      <w:r w:rsidRPr="009E4442">
        <w:rPr>
          <w:b/>
          <w:i/>
          <w:color w:val="4472C4" w:themeColor="accent1"/>
        </w:rPr>
        <w:t xml:space="preserve">Sec 29 (A) of IBC 'stretched too far', needs clarity: SBI chief </w:t>
      </w:r>
    </w:p>
    <w:p w14:paraId="69123A1D" w14:textId="77777777" w:rsidR="00F654B5" w:rsidRPr="00403C4B" w:rsidRDefault="00F654B5" w:rsidP="00F654B5">
      <w:pPr>
        <w:rPr>
          <w:i/>
          <w:color w:val="4472C4" w:themeColor="accent1"/>
        </w:rPr>
      </w:pPr>
      <w:r w:rsidRPr="00403C4B">
        <w:rPr>
          <w:i/>
          <w:color w:val="4472C4" w:themeColor="accent1"/>
        </w:rPr>
        <w:t xml:space="preserve">Section 29 (A) of the IBC deals with related-party provisioning and aims to prevent defaulting promoters from taking back their companies. </w:t>
      </w:r>
    </w:p>
    <w:p w14:paraId="56FE1C15" w14:textId="4FF06B89" w:rsidR="00F654B5" w:rsidRPr="00403C4B" w:rsidRDefault="00F654B5" w:rsidP="00F654B5">
      <w:pPr>
        <w:rPr>
          <w:i/>
          <w:color w:val="4472C4" w:themeColor="accent1"/>
        </w:rPr>
      </w:pPr>
      <w:r w:rsidRPr="00403C4B">
        <w:rPr>
          <w:i/>
          <w:color w:val="4472C4" w:themeColor="accent1"/>
        </w:rPr>
        <w:t>"If one company is in default, you can stop the related party or brother or family member, if they are in the same enterprise, but</w:t>
      </w:r>
      <w:r w:rsidR="002C1300" w:rsidRPr="00403C4B">
        <w:rPr>
          <w:i/>
          <w:color w:val="4472C4" w:themeColor="accent1"/>
        </w:rPr>
        <w:t xml:space="preserve"> </w:t>
      </w:r>
      <w:r w:rsidRPr="00403C4B">
        <w:rPr>
          <w:i/>
          <w:color w:val="4472C4" w:themeColor="accent1"/>
        </w:rPr>
        <w:t xml:space="preserve">not being allowed them to bid for any other enterprise and debarring them cannot be logical," he added. </w:t>
      </w:r>
    </w:p>
    <w:p w14:paraId="7CBC7BAC" w14:textId="0E38B3BD" w:rsidR="00F654B5" w:rsidRDefault="009E4442">
      <w:r>
        <w:t>While t</w:t>
      </w:r>
      <w:r w:rsidR="002C1300" w:rsidRPr="002C1300">
        <w:t xml:space="preserve">he above is </w:t>
      </w:r>
      <w:r>
        <w:t xml:space="preserve">just </w:t>
      </w:r>
      <w:r w:rsidR="002C1300" w:rsidRPr="002C1300">
        <w:t xml:space="preserve">an extract from a </w:t>
      </w:r>
      <w:r>
        <w:t xml:space="preserve">latest </w:t>
      </w:r>
      <w:r w:rsidR="002C1300" w:rsidRPr="002C1300">
        <w:t xml:space="preserve">news item in The Economic Times of </w:t>
      </w:r>
      <w:r>
        <w:t>17</w:t>
      </w:r>
      <w:r w:rsidRPr="009E4442">
        <w:rPr>
          <w:vertAlign w:val="superscript"/>
        </w:rPr>
        <w:t>th</w:t>
      </w:r>
      <w:r>
        <w:t xml:space="preserve"> January, 2019,</w:t>
      </w:r>
      <w:r w:rsidR="002C1300" w:rsidRPr="002C1300">
        <w:t xml:space="preserve"> for anyone who follows popular press regularly, it is not uncommon to </w:t>
      </w:r>
      <w:r w:rsidR="002C1300">
        <w:t>hear PSB chiefs batting for and justifying their lending to large corporate houses</w:t>
      </w:r>
      <w:r w:rsidR="00DC042A">
        <w:t xml:space="preserve"> despite ballooning NPAs over the years</w:t>
      </w:r>
      <w:r w:rsidR="002C1300">
        <w:t xml:space="preserve">. But how often have the same people been heard supporting </w:t>
      </w:r>
      <w:r w:rsidR="004A1B94">
        <w:t xml:space="preserve">the </w:t>
      </w:r>
      <w:r w:rsidR="002C1300">
        <w:t>clean up and start of a fresh round of lending to the farm sector?</w:t>
      </w:r>
      <w:r>
        <w:t xml:space="preserve"> Instead, what we have regularly heard is on the following lines. </w:t>
      </w:r>
    </w:p>
    <w:p w14:paraId="3FA0525E" w14:textId="2CA2AC7A" w:rsidR="009E4442" w:rsidRPr="009E4442" w:rsidRDefault="009E4442" w:rsidP="009E4442">
      <w:pPr>
        <w:rPr>
          <w:i/>
          <w:color w:val="4472C4" w:themeColor="accent1"/>
        </w:rPr>
      </w:pPr>
      <w:r w:rsidRPr="009E4442">
        <w:rPr>
          <w:i/>
          <w:color w:val="4472C4" w:themeColor="accent1"/>
        </w:rPr>
        <w:t xml:space="preserve">Farm loan waivers: Worried bank chiefs sound dissent note </w:t>
      </w:r>
    </w:p>
    <w:p w14:paraId="65E9D90E" w14:textId="77777777" w:rsidR="009E4442" w:rsidRPr="009E4442" w:rsidRDefault="009E4442" w:rsidP="009E4442">
      <w:pPr>
        <w:rPr>
          <w:i/>
          <w:color w:val="4472C4" w:themeColor="accent1"/>
        </w:rPr>
      </w:pPr>
      <w:r w:rsidRPr="009E4442">
        <w:rPr>
          <w:i/>
          <w:color w:val="4472C4" w:themeColor="accent1"/>
        </w:rPr>
        <w:t xml:space="preserve">“It is a deadly poison. It’s a wrong way of addressing the real issue,” United Bank of India’s managing director Ashok Kumar Pradhan said. </w:t>
      </w:r>
    </w:p>
    <w:p w14:paraId="00B27D8A" w14:textId="0FF2AD3F" w:rsidR="004A1B94" w:rsidRPr="00C844F5" w:rsidRDefault="004A1B94" w:rsidP="004A1B94">
      <w:pPr>
        <w:pStyle w:val="NormalWeb"/>
        <w:rPr>
          <w:rFonts w:asciiTheme="minorHAnsi" w:eastAsiaTheme="minorHAnsi" w:hAnsiTheme="minorHAnsi" w:cstheme="minorBidi"/>
          <w:sz w:val="22"/>
          <w:szCs w:val="22"/>
          <w:lang w:val="en-GB"/>
        </w:rPr>
      </w:pPr>
      <w:r w:rsidRPr="00C844F5">
        <w:rPr>
          <w:rFonts w:asciiTheme="minorHAnsi" w:eastAsiaTheme="minorHAnsi" w:hAnsiTheme="minorHAnsi" w:cstheme="minorBidi"/>
          <w:sz w:val="22"/>
          <w:szCs w:val="22"/>
          <w:lang w:val="en-GB"/>
        </w:rPr>
        <w:t xml:space="preserve">An instinctive reaction would be to </w:t>
      </w:r>
      <w:r w:rsidR="00BC7852">
        <w:rPr>
          <w:rFonts w:asciiTheme="minorHAnsi" w:eastAsiaTheme="minorHAnsi" w:hAnsiTheme="minorHAnsi" w:cstheme="minorBidi"/>
          <w:sz w:val="22"/>
          <w:szCs w:val="22"/>
          <w:lang w:val="en-GB"/>
        </w:rPr>
        <w:t xml:space="preserve">accept that the different approaches to the two problems is </w:t>
      </w:r>
      <w:r w:rsidR="000B7349">
        <w:rPr>
          <w:rFonts w:asciiTheme="minorHAnsi" w:eastAsiaTheme="minorHAnsi" w:hAnsiTheme="minorHAnsi" w:cstheme="minorBidi"/>
          <w:sz w:val="22"/>
          <w:szCs w:val="22"/>
          <w:lang w:val="en-GB"/>
        </w:rPr>
        <w:t xml:space="preserve">but </w:t>
      </w:r>
      <w:r w:rsidR="00BC7852">
        <w:rPr>
          <w:rFonts w:asciiTheme="minorHAnsi" w:eastAsiaTheme="minorHAnsi" w:hAnsiTheme="minorHAnsi" w:cstheme="minorBidi"/>
          <w:sz w:val="22"/>
          <w:szCs w:val="22"/>
          <w:lang w:val="en-GB"/>
        </w:rPr>
        <w:t xml:space="preserve">natural </w:t>
      </w:r>
      <w:r w:rsidRPr="00C844F5">
        <w:rPr>
          <w:rFonts w:asciiTheme="minorHAnsi" w:eastAsiaTheme="minorHAnsi" w:hAnsiTheme="minorHAnsi" w:cstheme="minorBidi"/>
          <w:sz w:val="22"/>
          <w:szCs w:val="22"/>
          <w:lang w:val="en-GB"/>
        </w:rPr>
        <w:t xml:space="preserve">—“How can farm loan waivers have anything in common with corporates’ non-performing assets (NPAs)? Isn’t one decision entirely political and the other entirely commercial? Are farm loan waivers not hogged by large farmers while corporate NPAs are spread across the spectrum of large and small businesses? " </w:t>
      </w:r>
    </w:p>
    <w:p w14:paraId="66911C87" w14:textId="77777777" w:rsidR="003F1DBA" w:rsidRDefault="000B7349" w:rsidP="004A1B94">
      <w:pPr>
        <w:pStyle w:val="NormalWeb"/>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This paper aims to question this knee jerk reaction. </w:t>
      </w:r>
    </w:p>
    <w:p w14:paraId="5A86CEE1" w14:textId="2D63BE87" w:rsidR="004A1B94" w:rsidRPr="00C844F5" w:rsidRDefault="004A1B94" w:rsidP="004A1B94">
      <w:pPr>
        <w:pStyle w:val="NormalWeb"/>
        <w:rPr>
          <w:rFonts w:asciiTheme="minorHAnsi" w:eastAsiaTheme="minorHAnsi" w:hAnsiTheme="minorHAnsi" w:cstheme="minorBidi"/>
          <w:sz w:val="22"/>
          <w:szCs w:val="22"/>
          <w:lang w:val="en-GB"/>
        </w:rPr>
      </w:pPr>
      <w:r w:rsidRPr="00C844F5">
        <w:rPr>
          <w:rFonts w:asciiTheme="minorHAnsi" w:eastAsiaTheme="minorHAnsi" w:hAnsiTheme="minorHAnsi" w:cstheme="minorBidi"/>
          <w:sz w:val="22"/>
          <w:szCs w:val="22"/>
          <w:lang w:val="en-GB"/>
        </w:rPr>
        <w:t xml:space="preserve">A farm loan waiver is a sector-wide extinguishing of loans mandated by the government, usually before an election, with the exchequer compensating banks. On the other hand, a corporate NPA represents a business failure, for reasons internal and external, and triggers a bankruptcy process to recover dues by financial creditors to the maximum extent possible—either through resolution or through liquidation. A bankruptcy process does not imply any liability of the government, unless very large in magnitude. The government obligation can be more pressing if NPAs originate in public sector banks or are due from public sector corporations. </w:t>
      </w:r>
    </w:p>
    <w:p w14:paraId="00BB6CFA" w14:textId="7853001D" w:rsidR="004A1B94" w:rsidRPr="00C844F5" w:rsidRDefault="004A1B94" w:rsidP="004A1B94">
      <w:pPr>
        <w:pStyle w:val="NormalWeb"/>
        <w:rPr>
          <w:rFonts w:asciiTheme="minorHAnsi" w:eastAsiaTheme="minorHAnsi" w:hAnsiTheme="minorHAnsi" w:cstheme="minorBidi"/>
          <w:sz w:val="22"/>
          <w:szCs w:val="22"/>
          <w:lang w:val="en-GB"/>
        </w:rPr>
      </w:pPr>
      <w:r w:rsidRPr="00C844F5">
        <w:rPr>
          <w:rFonts w:asciiTheme="minorHAnsi" w:eastAsiaTheme="minorHAnsi" w:hAnsiTheme="minorHAnsi" w:cstheme="minorBidi"/>
          <w:sz w:val="22"/>
          <w:szCs w:val="22"/>
          <w:lang w:val="en-GB"/>
        </w:rPr>
        <w:t xml:space="preserve">A key underpinning of bankruptcy procedures is the limited liability clause that protects the assets of promoters unless explicitly pledged. Corporate bankruptcy, therefore, is a simultaneous process of cleansing bank balance sheets and a mechanism allowing optimal risk-taking by entrepreneurs. Effective functioning of a bankruptcy law is expected to enable the generation of new cycles of credit, with credit flowing to better projects in similar or entirely new sectors. On the other hand, a farm loan waiver impedes the flow of such credit as structural problems besetting agriculture are typically not addressed. Couched in these terms, corporate bankruptcies and farm loan waivers indeed appear to have nothing in common. </w:t>
      </w:r>
    </w:p>
    <w:p w14:paraId="009E5611" w14:textId="1FA50691" w:rsidR="004A1B94" w:rsidRDefault="004A1B94">
      <w:r>
        <w:t xml:space="preserve">The equivalence arises when conditions warrant that the state must indirectly bear the burden of corporate NPAs by infusing funds into banks, as had happened in the US following the 2008 financial crisis and as is happening now in India. Equivalence can also be drawn when the problem of corporate NPAs repeats itself in the same sectors implying that, for some reason, banks keep lending to the same sectors even in the absence of structural improvements. Persistent problems in power </w:t>
      </w:r>
      <w:r>
        <w:lastRenderedPageBreak/>
        <w:t xml:space="preserve">and infrastructure sectors and the fate of development finance institutions before some of them converted to universal banks immediately come to mind. </w:t>
      </w:r>
    </w:p>
    <w:p w14:paraId="3FB97741" w14:textId="77777777" w:rsidR="004A1B94" w:rsidRDefault="004A1B94"/>
    <w:p w14:paraId="2DB8C859" w14:textId="77777777" w:rsidR="004A1B94" w:rsidRDefault="004A1B94">
      <w:r>
        <w:t xml:space="preserve">A further parallel between farm loan waivers and corporate NPAs is that both benefit the large entities in the ecosystem. </w:t>
      </w:r>
    </w:p>
    <w:p w14:paraId="5BC53795" w14:textId="1C80E6C8" w:rsidR="004A1B94" w:rsidRDefault="004A1B94" w:rsidP="004A1B94">
      <w:pPr>
        <w:pStyle w:val="Heading2"/>
      </w:pPr>
      <w:r>
        <w:t>The Size Distribution of Fame Loan Waivers</w:t>
      </w:r>
    </w:p>
    <w:p w14:paraId="7751AD8B" w14:textId="7F29F574" w:rsidR="00C436C8" w:rsidRPr="00C436C8" w:rsidRDefault="00C436C8">
      <w:r w:rsidRPr="00C436C8">
        <w:t xml:space="preserve">While popular opinion on farm loan waivers vilifies the poor &amp; marginal farmer, </w:t>
      </w:r>
      <w:r w:rsidR="00AE41DA">
        <w:t xml:space="preserve">the </w:t>
      </w:r>
      <w:r w:rsidRPr="00C436C8">
        <w:t xml:space="preserve">reality is that these small farmers are least benefitted by </w:t>
      </w:r>
      <w:r>
        <w:t>agricultural credit from the formal sector and, therefore, do not benefit from loan waivers at all. The waivers announced by governments are not applicable to non-formal sources of credit.</w:t>
      </w:r>
      <w:r w:rsidR="002C4F48">
        <w:t xml:space="preserve"> Agricultural credit in India is now </w:t>
      </w:r>
      <w:r w:rsidR="001C3528">
        <w:t>mainly large ticket and goes towards corporate activity in the farm sector</w:t>
      </w:r>
      <w:r w:rsidR="00C47DBD">
        <w:t>.</w:t>
      </w:r>
    </w:p>
    <w:p w14:paraId="5380AE85" w14:textId="576735C4" w:rsidR="00737EF8" w:rsidRPr="00FB6907" w:rsidRDefault="00FB6907" w:rsidP="00737EF8">
      <w:r w:rsidRPr="00FB6907">
        <w:t xml:space="preserve">Let us now see what data tell us about the </w:t>
      </w:r>
      <w:r w:rsidR="00737EF8" w:rsidRPr="00FB6907">
        <w:t>growth rates of agricultural credit in India over the years</w:t>
      </w:r>
      <w:r w:rsidRPr="00FB6907">
        <w:t xml:space="preserve"> and also understand what might likely have caused the </w:t>
      </w:r>
      <w:r w:rsidR="00737EF8" w:rsidRPr="00FB6907">
        <w:t>growth</w:t>
      </w:r>
      <w:r w:rsidRPr="00FB6907">
        <w:t>.</w:t>
      </w:r>
    </w:p>
    <w:tbl>
      <w:tblPr>
        <w:tblStyle w:val="TableGrid"/>
        <w:tblW w:w="0" w:type="auto"/>
        <w:tblInd w:w="-5" w:type="dxa"/>
        <w:tblLook w:val="04A0" w:firstRow="1" w:lastRow="0" w:firstColumn="1" w:lastColumn="0" w:noHBand="0" w:noVBand="1"/>
      </w:tblPr>
      <w:tblGrid>
        <w:gridCol w:w="1276"/>
        <w:gridCol w:w="1275"/>
        <w:gridCol w:w="1843"/>
        <w:gridCol w:w="1701"/>
      </w:tblGrid>
      <w:tr w:rsidR="00737EF8" w14:paraId="2B34EB9B" w14:textId="77777777" w:rsidTr="006179BA">
        <w:trPr>
          <w:trHeight w:val="333"/>
        </w:trPr>
        <w:tc>
          <w:tcPr>
            <w:tcW w:w="1276" w:type="dxa"/>
          </w:tcPr>
          <w:p w14:paraId="0AB3F924" w14:textId="77777777" w:rsidR="00737EF8" w:rsidRDefault="00737EF8" w:rsidP="006179BA">
            <w:pPr>
              <w:rPr>
                <w:b/>
              </w:rPr>
            </w:pPr>
          </w:p>
        </w:tc>
        <w:tc>
          <w:tcPr>
            <w:tcW w:w="4819" w:type="dxa"/>
            <w:gridSpan w:val="3"/>
          </w:tcPr>
          <w:p w14:paraId="35697EDE" w14:textId="77777777" w:rsidR="00737EF8" w:rsidRDefault="00737EF8" w:rsidP="006179BA">
            <w:pPr>
              <w:jc w:val="center"/>
              <w:rPr>
                <w:b/>
              </w:rPr>
            </w:pPr>
            <w:r>
              <w:rPr>
                <w:b/>
              </w:rPr>
              <w:t>Annual Growth Rates</w:t>
            </w:r>
          </w:p>
        </w:tc>
      </w:tr>
      <w:tr w:rsidR="00737EF8" w:rsidRPr="005A2ADE" w14:paraId="1D081CD7" w14:textId="77777777" w:rsidTr="006179BA">
        <w:trPr>
          <w:trHeight w:val="247"/>
        </w:trPr>
        <w:tc>
          <w:tcPr>
            <w:tcW w:w="1276" w:type="dxa"/>
          </w:tcPr>
          <w:p w14:paraId="283F74CC" w14:textId="77777777" w:rsidR="00737EF8" w:rsidRPr="005A2ADE" w:rsidRDefault="00737EF8" w:rsidP="006179BA">
            <w:r>
              <w:rPr>
                <w:b/>
              </w:rPr>
              <w:t>Period</w:t>
            </w:r>
          </w:p>
        </w:tc>
        <w:tc>
          <w:tcPr>
            <w:tcW w:w="1275" w:type="dxa"/>
          </w:tcPr>
          <w:p w14:paraId="257087A2" w14:textId="77777777" w:rsidR="00737EF8" w:rsidRPr="005A2ADE" w:rsidRDefault="00737EF8" w:rsidP="006179BA">
            <w:pPr>
              <w:jc w:val="center"/>
            </w:pPr>
            <w:r>
              <w:t>Agri Credit</w:t>
            </w:r>
          </w:p>
        </w:tc>
        <w:tc>
          <w:tcPr>
            <w:tcW w:w="1843" w:type="dxa"/>
          </w:tcPr>
          <w:p w14:paraId="69101D4D" w14:textId="77777777" w:rsidR="00737EF8" w:rsidRPr="005A2ADE" w:rsidRDefault="00737EF8" w:rsidP="006179BA">
            <w:pPr>
              <w:jc w:val="center"/>
            </w:pPr>
            <w:r>
              <w:t>Total Bank Credit</w:t>
            </w:r>
          </w:p>
        </w:tc>
        <w:tc>
          <w:tcPr>
            <w:tcW w:w="1701" w:type="dxa"/>
          </w:tcPr>
          <w:p w14:paraId="2A410FCE" w14:textId="77777777" w:rsidR="00737EF8" w:rsidRPr="005A2ADE" w:rsidRDefault="00737EF8" w:rsidP="006179BA">
            <w:pPr>
              <w:jc w:val="center"/>
            </w:pPr>
            <w:r>
              <w:t>Agri GDP</w:t>
            </w:r>
          </w:p>
        </w:tc>
      </w:tr>
      <w:tr w:rsidR="00737EF8" w14:paraId="5B7DB0B0" w14:textId="77777777" w:rsidTr="006179BA">
        <w:trPr>
          <w:trHeight w:val="238"/>
        </w:trPr>
        <w:tc>
          <w:tcPr>
            <w:tcW w:w="1276" w:type="dxa"/>
          </w:tcPr>
          <w:p w14:paraId="5B473720" w14:textId="77777777" w:rsidR="00737EF8" w:rsidRDefault="00737EF8" w:rsidP="006179BA">
            <w:r>
              <w:t>1981-1991</w:t>
            </w:r>
          </w:p>
        </w:tc>
        <w:tc>
          <w:tcPr>
            <w:tcW w:w="1275" w:type="dxa"/>
          </w:tcPr>
          <w:p w14:paraId="561AAA5B" w14:textId="77777777" w:rsidR="00737EF8" w:rsidRDefault="00737EF8" w:rsidP="006179BA">
            <w:pPr>
              <w:jc w:val="center"/>
            </w:pPr>
            <w:r>
              <w:t>6.8</w:t>
            </w:r>
          </w:p>
        </w:tc>
        <w:tc>
          <w:tcPr>
            <w:tcW w:w="1843" w:type="dxa"/>
          </w:tcPr>
          <w:p w14:paraId="580635D5" w14:textId="77777777" w:rsidR="00737EF8" w:rsidRDefault="00737EF8" w:rsidP="006179BA">
            <w:pPr>
              <w:jc w:val="center"/>
            </w:pPr>
            <w:r>
              <w:t>8</w:t>
            </w:r>
          </w:p>
        </w:tc>
        <w:tc>
          <w:tcPr>
            <w:tcW w:w="1701" w:type="dxa"/>
          </w:tcPr>
          <w:p w14:paraId="014BFEE1" w14:textId="77777777" w:rsidR="00737EF8" w:rsidRDefault="00737EF8" w:rsidP="006179BA">
            <w:pPr>
              <w:jc w:val="center"/>
            </w:pPr>
            <w:r>
              <w:t>3.5</w:t>
            </w:r>
          </w:p>
        </w:tc>
      </w:tr>
      <w:tr w:rsidR="00737EF8" w14:paraId="3555ED7E" w14:textId="77777777" w:rsidTr="006179BA">
        <w:trPr>
          <w:trHeight w:val="238"/>
        </w:trPr>
        <w:tc>
          <w:tcPr>
            <w:tcW w:w="1276" w:type="dxa"/>
          </w:tcPr>
          <w:p w14:paraId="7FF03D8E" w14:textId="77777777" w:rsidR="00737EF8" w:rsidRDefault="00737EF8" w:rsidP="006179BA">
            <w:r>
              <w:t>1991-2001</w:t>
            </w:r>
          </w:p>
        </w:tc>
        <w:tc>
          <w:tcPr>
            <w:tcW w:w="1275" w:type="dxa"/>
          </w:tcPr>
          <w:p w14:paraId="3E76724A" w14:textId="77777777" w:rsidR="00737EF8" w:rsidRDefault="00737EF8" w:rsidP="006179BA">
            <w:pPr>
              <w:jc w:val="center"/>
            </w:pPr>
            <w:r>
              <w:t>2.6</w:t>
            </w:r>
          </w:p>
        </w:tc>
        <w:tc>
          <w:tcPr>
            <w:tcW w:w="1843" w:type="dxa"/>
          </w:tcPr>
          <w:p w14:paraId="610B448B" w14:textId="77777777" w:rsidR="00737EF8" w:rsidRDefault="00737EF8" w:rsidP="006179BA">
            <w:pPr>
              <w:jc w:val="center"/>
            </w:pPr>
            <w:r>
              <w:t>7.3</w:t>
            </w:r>
          </w:p>
        </w:tc>
        <w:tc>
          <w:tcPr>
            <w:tcW w:w="1701" w:type="dxa"/>
          </w:tcPr>
          <w:p w14:paraId="0851632A" w14:textId="77777777" w:rsidR="00737EF8" w:rsidRDefault="00737EF8" w:rsidP="006179BA">
            <w:pPr>
              <w:jc w:val="center"/>
            </w:pPr>
            <w:r>
              <w:t>2.8</w:t>
            </w:r>
          </w:p>
        </w:tc>
      </w:tr>
      <w:tr w:rsidR="00737EF8" w14:paraId="043DC46C" w14:textId="77777777" w:rsidTr="006179BA">
        <w:trPr>
          <w:trHeight w:val="238"/>
        </w:trPr>
        <w:tc>
          <w:tcPr>
            <w:tcW w:w="1276" w:type="dxa"/>
          </w:tcPr>
          <w:p w14:paraId="3C84CD32" w14:textId="77777777" w:rsidR="00737EF8" w:rsidRDefault="00737EF8" w:rsidP="006179BA">
            <w:r>
              <w:t>2001-2011</w:t>
            </w:r>
          </w:p>
        </w:tc>
        <w:tc>
          <w:tcPr>
            <w:tcW w:w="1275" w:type="dxa"/>
          </w:tcPr>
          <w:p w14:paraId="4DC0C982" w14:textId="77777777" w:rsidR="00737EF8" w:rsidRDefault="00737EF8" w:rsidP="006179BA">
            <w:pPr>
              <w:jc w:val="center"/>
            </w:pPr>
            <w:r>
              <w:t>17.8</w:t>
            </w:r>
          </w:p>
        </w:tc>
        <w:tc>
          <w:tcPr>
            <w:tcW w:w="1843" w:type="dxa"/>
          </w:tcPr>
          <w:p w14:paraId="77FF71F7" w14:textId="77777777" w:rsidR="00737EF8" w:rsidRDefault="00737EF8" w:rsidP="006179BA">
            <w:pPr>
              <w:jc w:val="center"/>
            </w:pPr>
            <w:r>
              <w:t>15.7</w:t>
            </w:r>
          </w:p>
        </w:tc>
        <w:tc>
          <w:tcPr>
            <w:tcW w:w="1701" w:type="dxa"/>
          </w:tcPr>
          <w:p w14:paraId="1DC40698" w14:textId="77777777" w:rsidR="00737EF8" w:rsidRDefault="00737EF8" w:rsidP="006179BA">
            <w:pPr>
              <w:jc w:val="center"/>
            </w:pPr>
            <w:r>
              <w:t>3.3</w:t>
            </w:r>
          </w:p>
        </w:tc>
      </w:tr>
    </w:tbl>
    <w:p w14:paraId="214447BC" w14:textId="1941EC8D" w:rsidR="00737EF8" w:rsidRDefault="00737EF8" w:rsidP="00592BBA">
      <w:pPr>
        <w:rPr>
          <w:i/>
          <w:color w:val="000000" w:themeColor="text1"/>
          <w:sz w:val="18"/>
        </w:rPr>
      </w:pPr>
      <w:r w:rsidRPr="00CB0467">
        <w:rPr>
          <w:i/>
          <w:color w:val="000000" w:themeColor="text1"/>
          <w:sz w:val="18"/>
        </w:rPr>
        <w:t>(</w:t>
      </w:r>
      <w:r>
        <w:rPr>
          <w:i/>
          <w:color w:val="000000" w:themeColor="text1"/>
          <w:sz w:val="18"/>
        </w:rPr>
        <w:t>s</w:t>
      </w:r>
      <w:r w:rsidRPr="00CB0467">
        <w:rPr>
          <w:i/>
          <w:color w:val="000000" w:themeColor="text1"/>
          <w:sz w:val="18"/>
        </w:rPr>
        <w:t>ource: Economic Survey, 2014-15)</w:t>
      </w:r>
    </w:p>
    <w:p w14:paraId="207CE021" w14:textId="66C7E9E2" w:rsidR="00592BBA" w:rsidRDefault="00592BBA" w:rsidP="00592BBA">
      <w:r>
        <w:t>A casual observation of the figures from the above table might reveal that the banking sector in India has been very supportive of agriculture. To anyone not familiar with banking regulations in India, juxtaposition of annual growth rates of agricultural credit, total bank credit and agricultural credit brings to mind two puzzling questions:</w:t>
      </w:r>
    </w:p>
    <w:p w14:paraId="5BF4BF75" w14:textId="342A53AD" w:rsidR="00592BBA" w:rsidRDefault="00592BBA" w:rsidP="00592BBA">
      <w:r>
        <w:t>1. Why did agricultural credit grow so fast in the 10 years between 2001-2011 when agri</w:t>
      </w:r>
      <w:r w:rsidR="00FB6907">
        <w:t>cultural</w:t>
      </w:r>
      <w:r>
        <w:t xml:space="preserve"> GDP grew at a slow rate of just 3.3pc per annum?</w:t>
      </w:r>
    </w:p>
    <w:p w14:paraId="3CAE98A3" w14:textId="47940D5B" w:rsidR="00D67C0E" w:rsidRDefault="00592BBA" w:rsidP="00592BBA">
      <w:r>
        <w:t>2. Did high growth in agricultural credit lead to growth in total bank credit or vice versa?</w:t>
      </w:r>
    </w:p>
    <w:p w14:paraId="15D137C6" w14:textId="1FD94EFD" w:rsidR="00592BBA" w:rsidRDefault="00595A27" w:rsidP="00592BBA">
      <w:r>
        <w:t xml:space="preserve">A more </w:t>
      </w:r>
      <w:r w:rsidR="00FB6907">
        <w:t xml:space="preserve">informed </w:t>
      </w:r>
      <w:r>
        <w:t xml:space="preserve">look at the same numbers </w:t>
      </w:r>
      <w:r w:rsidR="00FB6907">
        <w:t xml:space="preserve">tells us </w:t>
      </w:r>
      <w:r>
        <w:t xml:space="preserve">that the growth in agriculture </w:t>
      </w:r>
      <w:r w:rsidR="00737EF8">
        <w:t xml:space="preserve">did not cause the growth in agricultural credit. The case was the same when trying to reason causality in the reverse direction: that the growth in agricultural credit did not cause growth in agriculture. The invisible hand operating here is the hand of ‘regulation’. Banks in India are mandated to lend ~40% of their Adjusted Net Bank Credit (ANBC) to Priority Sectors of the economy (with a sub-limit of ~18% for agriculture). </w:t>
      </w:r>
      <w:r w:rsidR="00FB6907">
        <w:t>Strong growth in bank credit to industry and other segments of the economy have, as a by-product, led to the growth of agricultural credit. Not only</w:t>
      </w:r>
      <w:r w:rsidR="00CA355D">
        <w:t xml:space="preserve"> is the growth of agricultural credit mainly in the ‘big-ticket’ segment, two other things stand out</w:t>
      </w:r>
      <w:r w:rsidR="00104718">
        <w:t xml:space="preserve">: most agricultural credit is disbursed just before the end of the financial year for banks to meet their priority sector lending targets </w:t>
      </w:r>
      <w:r w:rsidR="00B3065C">
        <w:t xml:space="preserve">(off-season for credit demand in farm sector as such) </w:t>
      </w:r>
      <w:r w:rsidR="00104718">
        <w:t>and an increasing &amp; large proportion of agricultural credit is disbursed via bank branches in urban India.</w:t>
      </w:r>
      <w:r w:rsidR="00C5618E">
        <w:t xml:space="preserve"> </w:t>
      </w:r>
      <w:r w:rsidR="00C5618E" w:rsidRPr="00C5618E">
        <w:rPr>
          <w:highlight w:val="yellow"/>
        </w:rPr>
        <w:t>Additionally, in response to a Right to Information (RTI) application filed by The Wire, RBI has revealed that Public Sector Banks handed out Rs 58,561 crore to 615 accounts in agricultural loans in the year 2016. On average, each account has been given over Rs 95 crore in agricultural loans.</w:t>
      </w:r>
    </w:p>
    <w:p w14:paraId="5C44A71D" w14:textId="77777777" w:rsidR="002A06A5" w:rsidRDefault="002A06A5" w:rsidP="002A06A5">
      <w:pPr>
        <w:rPr>
          <w:color w:val="000000" w:themeColor="text1"/>
        </w:rPr>
      </w:pPr>
      <w:r w:rsidRPr="001353C9">
        <w:rPr>
          <w:noProof/>
          <w:color w:val="000000" w:themeColor="text1"/>
          <w:lang w:val="en-US"/>
        </w:rPr>
        <w:lastRenderedPageBreak/>
        <w:drawing>
          <wp:inline distT="0" distB="0" distL="0" distR="0" wp14:anchorId="2C2681D2" wp14:editId="0869879D">
            <wp:extent cx="3479800" cy="235180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7077" cy="2356722"/>
                    </a:xfrm>
                    <a:prstGeom prst="rect">
                      <a:avLst/>
                    </a:prstGeom>
                    <a:noFill/>
                    <a:ln>
                      <a:noFill/>
                    </a:ln>
                  </pic:spPr>
                </pic:pic>
              </a:graphicData>
            </a:graphic>
          </wp:inline>
        </w:drawing>
      </w:r>
    </w:p>
    <w:p w14:paraId="288908E2" w14:textId="51AFB1CB" w:rsidR="002A06A5" w:rsidRPr="009118C1" w:rsidRDefault="002A06A5" w:rsidP="002A06A5">
      <w:pPr>
        <w:rPr>
          <w:color w:val="000000" w:themeColor="text1"/>
        </w:rPr>
      </w:pPr>
      <w:r w:rsidRPr="00CB0467">
        <w:rPr>
          <w:i/>
          <w:color w:val="000000" w:themeColor="text1"/>
          <w:sz w:val="18"/>
        </w:rPr>
        <w:t>(</w:t>
      </w:r>
      <w:r>
        <w:rPr>
          <w:i/>
          <w:color w:val="000000" w:themeColor="text1"/>
          <w:sz w:val="18"/>
        </w:rPr>
        <w:t>s</w:t>
      </w:r>
      <w:r w:rsidRPr="00CB0467">
        <w:rPr>
          <w:i/>
          <w:color w:val="000000" w:themeColor="text1"/>
          <w:sz w:val="18"/>
        </w:rPr>
        <w:t xml:space="preserve">ource: </w:t>
      </w:r>
      <w:r>
        <w:rPr>
          <w:i/>
          <w:color w:val="000000" w:themeColor="text1"/>
          <w:sz w:val="18"/>
        </w:rPr>
        <w:t>Ramakumar &amp; Chavan, 2014</w:t>
      </w:r>
      <w:r w:rsidRPr="00CB0467">
        <w:rPr>
          <w:i/>
          <w:color w:val="000000" w:themeColor="text1"/>
          <w:sz w:val="18"/>
        </w:rPr>
        <w:t>)</w:t>
      </w:r>
    </w:p>
    <w:p w14:paraId="053C6E2E" w14:textId="0DADF069" w:rsidR="00592BBA" w:rsidRPr="00FB6907" w:rsidRDefault="00737EF8" w:rsidP="00771605">
      <w:r w:rsidRPr="00FB6907">
        <w:t xml:space="preserve">Having established the proximate cause of growth in agricultural credit in India, </w:t>
      </w:r>
      <w:r w:rsidR="00FB6907" w:rsidRPr="00FB6907">
        <w:t xml:space="preserve">we now see </w:t>
      </w:r>
      <w:r w:rsidRPr="00FB6907">
        <w:t xml:space="preserve">how </w:t>
      </w:r>
      <w:r w:rsidR="00FB6907" w:rsidRPr="00FB6907">
        <w:t xml:space="preserve">the </w:t>
      </w:r>
      <w:r w:rsidRPr="00FB6907">
        <w:t>the borrower profile changed in agricultur</w:t>
      </w:r>
      <w:r w:rsidR="00FB6907" w:rsidRPr="00FB6907">
        <w:t xml:space="preserve">al credit has changed </w:t>
      </w:r>
      <w:r w:rsidRPr="00FB6907">
        <w:t>over the years</w:t>
      </w:r>
      <w:r w:rsidR="00FB6907" w:rsidRPr="00FB6907">
        <w:t>.</w:t>
      </w:r>
    </w:p>
    <w:p w14:paraId="4E8E89B4" w14:textId="09EE8F4C" w:rsidR="003630F4" w:rsidRDefault="003630F4" w:rsidP="002A06A5">
      <w:r>
        <w:t xml:space="preserve">As one can see from the table below, the share of high value loans i.e. loans above Rs 10 lacs, </w:t>
      </w:r>
      <w:r w:rsidR="00D67C0E" w:rsidRPr="00FF584F">
        <w:t>increase</w:t>
      </w:r>
      <w:r>
        <w:t>d sharply</w:t>
      </w:r>
      <w:r w:rsidR="00D67C0E" w:rsidRPr="00FF584F">
        <w:t xml:space="preserve"> b</w:t>
      </w:r>
      <w:r>
        <w:t>et</w:t>
      </w:r>
      <w:r w:rsidR="00D67C0E" w:rsidRPr="00FF584F">
        <w:t>w</w:t>
      </w:r>
      <w:r>
        <w:t>een</w:t>
      </w:r>
      <w:r w:rsidR="00D67C0E" w:rsidRPr="00FF584F">
        <w:t xml:space="preserve"> 1990 &amp; 2011 </w:t>
      </w:r>
      <w:r>
        <w:t xml:space="preserve">from </w:t>
      </w:r>
      <w:r w:rsidRPr="00FF584F">
        <w:t>4.1%</w:t>
      </w:r>
      <w:r>
        <w:t xml:space="preserve"> to </w:t>
      </w:r>
      <w:r w:rsidR="00D67C0E" w:rsidRPr="00FF584F">
        <w:t>23.8%</w:t>
      </w:r>
      <w:r>
        <w:t xml:space="preserve"> of all ‘direct’ agricultural credit. At the same time, the share of small loans i.e. loans below Rs 2 lacs, decreased </w:t>
      </w:r>
      <w:r w:rsidR="00D67C0E">
        <w:t>s</w:t>
      </w:r>
      <w:r w:rsidR="00D67C0E" w:rsidRPr="00FF584F">
        <w:t>harp</w:t>
      </w:r>
      <w:r>
        <w:t>ly</w:t>
      </w:r>
      <w:r w:rsidR="00D67C0E" w:rsidRPr="00FF584F">
        <w:t xml:space="preserve"> b</w:t>
      </w:r>
      <w:r>
        <w:t>et</w:t>
      </w:r>
      <w:r w:rsidR="00D67C0E" w:rsidRPr="00FF584F">
        <w:t>w</w:t>
      </w:r>
      <w:r>
        <w:t>een</w:t>
      </w:r>
      <w:r w:rsidR="00D67C0E" w:rsidRPr="00FF584F">
        <w:t xml:space="preserve"> 1990 </w:t>
      </w:r>
      <w:r>
        <w:t xml:space="preserve">&amp; </w:t>
      </w:r>
      <w:r w:rsidR="00D67C0E" w:rsidRPr="00FF584F">
        <w:t xml:space="preserve">2011 </w:t>
      </w:r>
      <w:r>
        <w:t xml:space="preserve">from </w:t>
      </w:r>
      <w:r w:rsidRPr="00FF584F">
        <w:t xml:space="preserve">92.2% </w:t>
      </w:r>
      <w:r>
        <w:t xml:space="preserve">to </w:t>
      </w:r>
      <w:r w:rsidR="00D67C0E" w:rsidRPr="00FF584F">
        <w:t>48%</w:t>
      </w:r>
      <w:r>
        <w:t xml:space="preserve"> of all ‘direct’ agricultural credit.</w:t>
      </w:r>
    </w:p>
    <w:p w14:paraId="0795F2E8" w14:textId="77777777" w:rsidR="00D67C0E" w:rsidRPr="00D67C0E" w:rsidRDefault="00D67C0E" w:rsidP="002A06A5">
      <w:pPr>
        <w:pStyle w:val="ListParagraph"/>
        <w:ind w:left="0"/>
        <w:rPr>
          <w:color w:val="000000" w:themeColor="text1"/>
        </w:rPr>
      </w:pPr>
      <w:r w:rsidRPr="009118C1">
        <w:rPr>
          <w:noProof/>
          <w:lang w:val="en-US"/>
        </w:rPr>
        <w:drawing>
          <wp:inline distT="0" distB="0" distL="0" distR="0" wp14:anchorId="3FF54470" wp14:editId="4ACAC499">
            <wp:extent cx="3314700" cy="16927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1247" cy="1706347"/>
                    </a:xfrm>
                    <a:prstGeom prst="rect">
                      <a:avLst/>
                    </a:prstGeom>
                    <a:noFill/>
                    <a:ln>
                      <a:noFill/>
                    </a:ln>
                  </pic:spPr>
                </pic:pic>
              </a:graphicData>
            </a:graphic>
          </wp:inline>
        </w:drawing>
      </w:r>
    </w:p>
    <w:p w14:paraId="1E947265" w14:textId="7F0D41C5" w:rsidR="00D67C0E" w:rsidRPr="002A06A5" w:rsidRDefault="00D67C0E" w:rsidP="002A06A5">
      <w:pPr>
        <w:rPr>
          <w:i/>
          <w:color w:val="000000" w:themeColor="text1"/>
          <w:sz w:val="18"/>
        </w:rPr>
      </w:pPr>
      <w:r w:rsidRPr="002A06A5">
        <w:rPr>
          <w:i/>
          <w:color w:val="000000" w:themeColor="text1"/>
          <w:sz w:val="18"/>
        </w:rPr>
        <w:t>(source: Economic Survey, 2014-15 + Ramakumar &amp; Chavan, 2014)</w:t>
      </w:r>
    </w:p>
    <w:p w14:paraId="092C965A" w14:textId="6CCE0262" w:rsidR="00A20771" w:rsidRPr="00A20771" w:rsidRDefault="003630F4" w:rsidP="00D67C0E">
      <w:pPr>
        <w:rPr>
          <w:color w:val="000000" w:themeColor="text1"/>
        </w:rPr>
      </w:pPr>
      <w:r w:rsidRPr="003630F4">
        <w:t xml:space="preserve">But </w:t>
      </w:r>
      <w:r>
        <w:t xml:space="preserve">with inflation over time, is it fair to expect the loan tickets sizes to remain small? Surely not. Considering an average inflation rate of 7pc per annum over the </w:t>
      </w:r>
      <w:r w:rsidR="00A20771">
        <w:t>twenty-one years period between 1990 and 2011, prices should have doubled ~ every 10 years. That means that a loan of Rs 25,000 in 1990 would double to ~Rs. 50,000 by 2000 and be ~ equal to Rs 100,000 by 2011. This then implies that the share of loans below Rs. 100,000 in 2011 should have roughly remained, at the least, at 58.7%. However, in reality, the share of all loans below even Rs. 200,000 was about 41.4% - much lesser than the 58.7% plus</w:t>
      </w:r>
      <w:r w:rsidR="002A06A5">
        <w:t xml:space="preserve"> (as is the case for loans less than Rs. 25,000 in 1990 in the table below)</w:t>
      </w:r>
      <w:r w:rsidR="00A20771">
        <w:t xml:space="preserve">. </w:t>
      </w:r>
      <w:r w:rsidR="00A20771">
        <w:rPr>
          <w:color w:val="000000" w:themeColor="text1"/>
        </w:rPr>
        <w:t>The story is the same whether one looks at total or only direct credit to agriculture</w:t>
      </w:r>
      <w:r w:rsidR="002A06A5">
        <w:rPr>
          <w:color w:val="000000" w:themeColor="text1"/>
        </w:rPr>
        <w:t xml:space="preserve"> as observed from the following two tables</w:t>
      </w:r>
      <w:r w:rsidR="00A20771">
        <w:rPr>
          <w:color w:val="000000" w:themeColor="text1"/>
        </w:rPr>
        <w:t xml:space="preserve">. </w:t>
      </w:r>
    </w:p>
    <w:p w14:paraId="52F22793" w14:textId="77777777" w:rsidR="00D67C0E" w:rsidRDefault="00D67C0E" w:rsidP="00D67C0E">
      <w:pPr>
        <w:rPr>
          <w:color w:val="000000" w:themeColor="text1"/>
        </w:rPr>
      </w:pPr>
      <w:r w:rsidRPr="001353C9">
        <w:rPr>
          <w:noProof/>
          <w:color w:val="000000" w:themeColor="text1"/>
          <w:lang w:val="en-US"/>
        </w:rPr>
        <w:lastRenderedPageBreak/>
        <w:drawing>
          <wp:inline distT="0" distB="0" distL="0" distR="0" wp14:anchorId="7052A2B7" wp14:editId="3A0EDF7E">
            <wp:extent cx="3676061" cy="17716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138" cy="1778916"/>
                    </a:xfrm>
                    <a:prstGeom prst="rect">
                      <a:avLst/>
                    </a:prstGeom>
                    <a:noFill/>
                    <a:ln>
                      <a:noFill/>
                    </a:ln>
                  </pic:spPr>
                </pic:pic>
              </a:graphicData>
            </a:graphic>
          </wp:inline>
        </w:drawing>
      </w:r>
    </w:p>
    <w:p w14:paraId="25CE2448" w14:textId="0B94C256" w:rsidR="00D67C0E" w:rsidRDefault="00D67C0E" w:rsidP="00D67C0E">
      <w:pPr>
        <w:rPr>
          <w:color w:val="000000" w:themeColor="text1"/>
        </w:rPr>
      </w:pPr>
      <w:r w:rsidRPr="001353C9">
        <w:rPr>
          <w:noProof/>
          <w:color w:val="000000" w:themeColor="text1"/>
          <w:lang w:val="en-US"/>
        </w:rPr>
        <w:drawing>
          <wp:inline distT="0" distB="0" distL="0" distR="0" wp14:anchorId="04C1CE4B" wp14:editId="4F5B805C">
            <wp:extent cx="3671054" cy="17589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0286" cy="1763374"/>
                    </a:xfrm>
                    <a:prstGeom prst="rect">
                      <a:avLst/>
                    </a:prstGeom>
                    <a:noFill/>
                    <a:ln>
                      <a:noFill/>
                    </a:ln>
                  </pic:spPr>
                </pic:pic>
              </a:graphicData>
            </a:graphic>
          </wp:inline>
        </w:drawing>
      </w:r>
    </w:p>
    <w:p w14:paraId="6A8D50C5" w14:textId="77777777" w:rsidR="0048739E" w:rsidRPr="002A06A5" w:rsidRDefault="0048739E" w:rsidP="0048739E">
      <w:pPr>
        <w:rPr>
          <w:i/>
          <w:color w:val="000000" w:themeColor="text1"/>
          <w:sz w:val="18"/>
        </w:rPr>
      </w:pPr>
      <w:r w:rsidRPr="002A06A5">
        <w:rPr>
          <w:i/>
          <w:color w:val="000000" w:themeColor="text1"/>
          <w:sz w:val="18"/>
        </w:rPr>
        <w:t>(source: Economic Survey, 2014-15 + Ramakumar &amp; Chavan, 2014)</w:t>
      </w:r>
    </w:p>
    <w:p w14:paraId="38F2E252" w14:textId="77777777" w:rsidR="00D67C0E" w:rsidRPr="0048739E" w:rsidRDefault="00D67C0E" w:rsidP="0048739E">
      <w:pPr>
        <w:rPr>
          <w:i/>
          <w:color w:val="000000" w:themeColor="text1"/>
          <w:sz w:val="18"/>
        </w:rPr>
      </w:pPr>
    </w:p>
    <w:p w14:paraId="23A10969" w14:textId="1822557C" w:rsidR="00466992" w:rsidRDefault="00A20771" w:rsidP="00CD49A6">
      <w:r>
        <w:t>The increasing and high percentage share of big-ticket loans in agriculture does suggest that the corporatized ‘farmer’ is enjoying the benefits of the way regulator has incentivised the banking sector. On the other hand, the small &amp; marginalised farmer now depends heavily on non-institutional and expensive forms of credit.</w:t>
      </w:r>
      <w:r w:rsidR="00466992">
        <w:t xml:space="preserve"> As the table below shows, </w:t>
      </w:r>
      <w:r w:rsidR="00D67C0E" w:rsidRPr="00FF584F">
        <w:t xml:space="preserve">over dependence on usurious finance for small/ marginal farmers </w:t>
      </w:r>
      <w:r w:rsidR="00466992">
        <w:t xml:space="preserve">is reflected in the very low (14.9%) share of farmers with land holdings less than 0.01 hectares </w:t>
      </w:r>
      <w:r w:rsidR="00CD49A6">
        <w:t xml:space="preserve">of </w:t>
      </w:r>
      <w:r w:rsidR="00466992">
        <w:t>access to institutional credit.</w:t>
      </w:r>
    </w:p>
    <w:p w14:paraId="0B58D220" w14:textId="305763EB" w:rsidR="001426DD" w:rsidRDefault="001426DD" w:rsidP="001426DD">
      <w:pPr>
        <w:pStyle w:val="ListParagraph"/>
        <w:ind w:left="170"/>
      </w:pPr>
      <w:r w:rsidRPr="001426DD">
        <w:rPr>
          <w:noProof/>
          <w:lang w:val="en-US"/>
        </w:rPr>
        <w:drawing>
          <wp:inline distT="0" distB="0" distL="0" distR="0" wp14:anchorId="2EAB2752" wp14:editId="32E54E2B">
            <wp:extent cx="3244850" cy="19078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812" cy="1951355"/>
                    </a:xfrm>
                    <a:prstGeom prst="rect">
                      <a:avLst/>
                    </a:prstGeom>
                    <a:noFill/>
                    <a:ln>
                      <a:noFill/>
                    </a:ln>
                  </pic:spPr>
                </pic:pic>
              </a:graphicData>
            </a:graphic>
          </wp:inline>
        </w:drawing>
      </w:r>
    </w:p>
    <w:p w14:paraId="55555ECD" w14:textId="28C3FCBC" w:rsidR="001426DD" w:rsidRPr="0048739E" w:rsidRDefault="0048739E" w:rsidP="0048739E">
      <w:pPr>
        <w:rPr>
          <w:i/>
          <w:sz w:val="16"/>
        </w:rPr>
      </w:pPr>
      <w:r w:rsidRPr="0048739E">
        <w:rPr>
          <w:i/>
          <w:sz w:val="16"/>
        </w:rPr>
        <w:t>source: Banik, 2018 (Economic &amp; Political Weekly)</w:t>
      </w:r>
    </w:p>
    <w:p w14:paraId="45047B86" w14:textId="3063DECD" w:rsidR="00466992" w:rsidRDefault="00E36285" w:rsidP="00466992">
      <w:r>
        <w:t xml:space="preserve">Does the government address the indebtedness issue of the farmers when they owe so much to informal lenders? </w:t>
      </w:r>
    </w:p>
    <w:p w14:paraId="50E17B04" w14:textId="3D7A5AFF" w:rsidR="00522DFC" w:rsidRDefault="00E36285" w:rsidP="00522DFC">
      <w:r>
        <w:t xml:space="preserve">In the financial year </w:t>
      </w:r>
      <w:r w:rsidR="00522DFC">
        <w:t>2017-</w:t>
      </w:r>
      <w:r>
        <w:t>2018 and</w:t>
      </w:r>
      <w:r w:rsidR="00A459D1">
        <w:t xml:space="preserve"> year to date in the current financial </w:t>
      </w:r>
      <w:r w:rsidR="00522DFC">
        <w:t>year, various state governments have announced loan waivers totalling ~Rs. 168,650 crores.</w:t>
      </w:r>
    </w:p>
    <w:p w14:paraId="1A01AE19" w14:textId="77777777" w:rsidR="00C844F5" w:rsidRPr="00522DFC" w:rsidRDefault="00C844F5" w:rsidP="00522DFC"/>
    <w:tbl>
      <w:tblPr>
        <w:tblStyle w:val="TableGrid"/>
        <w:tblW w:w="0" w:type="auto"/>
        <w:tblLook w:val="04A0" w:firstRow="1" w:lastRow="0" w:firstColumn="1" w:lastColumn="0" w:noHBand="0" w:noVBand="1"/>
      </w:tblPr>
      <w:tblGrid>
        <w:gridCol w:w="1585"/>
        <w:gridCol w:w="1585"/>
      </w:tblGrid>
      <w:tr w:rsidR="00522DFC" w14:paraId="091E258C" w14:textId="77777777" w:rsidTr="0048739E">
        <w:trPr>
          <w:trHeight w:val="245"/>
        </w:trPr>
        <w:tc>
          <w:tcPr>
            <w:tcW w:w="1585" w:type="dxa"/>
          </w:tcPr>
          <w:p w14:paraId="7539273C" w14:textId="77777777" w:rsidR="00522DFC" w:rsidRDefault="00522DFC" w:rsidP="001E1006">
            <w:pPr>
              <w:jc w:val="center"/>
              <w:rPr>
                <w:sz w:val="20"/>
              </w:rPr>
            </w:pPr>
            <w:r>
              <w:rPr>
                <w:sz w:val="20"/>
              </w:rPr>
              <w:lastRenderedPageBreak/>
              <w:t>State</w:t>
            </w:r>
          </w:p>
        </w:tc>
        <w:tc>
          <w:tcPr>
            <w:tcW w:w="1585" w:type="dxa"/>
          </w:tcPr>
          <w:p w14:paraId="2CA32062" w14:textId="77777777" w:rsidR="00522DFC" w:rsidRDefault="00522DFC" w:rsidP="001E1006">
            <w:pPr>
              <w:jc w:val="center"/>
              <w:rPr>
                <w:sz w:val="20"/>
              </w:rPr>
            </w:pPr>
            <w:r>
              <w:rPr>
                <w:sz w:val="20"/>
              </w:rPr>
              <w:t>Rs crores</w:t>
            </w:r>
          </w:p>
        </w:tc>
      </w:tr>
      <w:tr w:rsidR="00522DFC" w14:paraId="5CC70843" w14:textId="77777777" w:rsidTr="0048739E">
        <w:trPr>
          <w:trHeight w:val="255"/>
        </w:trPr>
        <w:tc>
          <w:tcPr>
            <w:tcW w:w="1585" w:type="dxa"/>
          </w:tcPr>
          <w:p w14:paraId="64932C72" w14:textId="77777777" w:rsidR="00522DFC" w:rsidRDefault="00522DFC" w:rsidP="001E1006">
            <w:pPr>
              <w:rPr>
                <w:sz w:val="20"/>
              </w:rPr>
            </w:pPr>
            <w:r>
              <w:rPr>
                <w:sz w:val="20"/>
              </w:rPr>
              <w:t>Karnataka</w:t>
            </w:r>
          </w:p>
        </w:tc>
        <w:tc>
          <w:tcPr>
            <w:tcW w:w="1585" w:type="dxa"/>
          </w:tcPr>
          <w:p w14:paraId="7D1D0147" w14:textId="77777777" w:rsidR="00522DFC" w:rsidRDefault="00522DFC" w:rsidP="001E1006">
            <w:pPr>
              <w:jc w:val="center"/>
              <w:rPr>
                <w:sz w:val="20"/>
              </w:rPr>
            </w:pPr>
            <w:r>
              <w:rPr>
                <w:sz w:val="20"/>
              </w:rPr>
              <w:t>44,000</w:t>
            </w:r>
          </w:p>
        </w:tc>
      </w:tr>
      <w:tr w:rsidR="00522DFC" w14:paraId="24EEDC40" w14:textId="77777777" w:rsidTr="0048739E">
        <w:trPr>
          <w:trHeight w:val="245"/>
        </w:trPr>
        <w:tc>
          <w:tcPr>
            <w:tcW w:w="1585" w:type="dxa"/>
          </w:tcPr>
          <w:p w14:paraId="5A94DBC3" w14:textId="77777777" w:rsidR="00522DFC" w:rsidRDefault="00522DFC" w:rsidP="001E1006">
            <w:pPr>
              <w:rPr>
                <w:sz w:val="20"/>
              </w:rPr>
            </w:pPr>
            <w:r>
              <w:rPr>
                <w:sz w:val="20"/>
              </w:rPr>
              <w:t>MP</w:t>
            </w:r>
          </w:p>
        </w:tc>
        <w:tc>
          <w:tcPr>
            <w:tcW w:w="1585" w:type="dxa"/>
          </w:tcPr>
          <w:p w14:paraId="1BBFB77C" w14:textId="77777777" w:rsidR="00522DFC" w:rsidRDefault="00522DFC" w:rsidP="001E1006">
            <w:pPr>
              <w:jc w:val="center"/>
              <w:rPr>
                <w:sz w:val="20"/>
              </w:rPr>
            </w:pPr>
            <w:r>
              <w:rPr>
                <w:sz w:val="20"/>
              </w:rPr>
              <w:t>38,000</w:t>
            </w:r>
          </w:p>
        </w:tc>
      </w:tr>
      <w:tr w:rsidR="00522DFC" w14:paraId="47692034" w14:textId="77777777" w:rsidTr="0048739E">
        <w:trPr>
          <w:trHeight w:val="255"/>
        </w:trPr>
        <w:tc>
          <w:tcPr>
            <w:tcW w:w="1585" w:type="dxa"/>
          </w:tcPr>
          <w:p w14:paraId="7A8452AC" w14:textId="77777777" w:rsidR="00522DFC" w:rsidRDefault="00522DFC" w:rsidP="001E1006">
            <w:pPr>
              <w:rPr>
                <w:sz w:val="20"/>
              </w:rPr>
            </w:pPr>
            <w:r>
              <w:rPr>
                <w:sz w:val="20"/>
              </w:rPr>
              <w:t>UP</w:t>
            </w:r>
          </w:p>
        </w:tc>
        <w:tc>
          <w:tcPr>
            <w:tcW w:w="1585" w:type="dxa"/>
          </w:tcPr>
          <w:p w14:paraId="41647F01" w14:textId="77777777" w:rsidR="00522DFC" w:rsidRDefault="00522DFC" w:rsidP="001E1006">
            <w:pPr>
              <w:jc w:val="center"/>
              <w:rPr>
                <w:sz w:val="20"/>
              </w:rPr>
            </w:pPr>
            <w:r>
              <w:rPr>
                <w:sz w:val="20"/>
              </w:rPr>
              <w:t>36,000</w:t>
            </w:r>
          </w:p>
        </w:tc>
      </w:tr>
      <w:tr w:rsidR="00522DFC" w14:paraId="4EAB0381" w14:textId="77777777" w:rsidTr="0048739E">
        <w:trPr>
          <w:trHeight w:val="245"/>
        </w:trPr>
        <w:tc>
          <w:tcPr>
            <w:tcW w:w="1585" w:type="dxa"/>
          </w:tcPr>
          <w:p w14:paraId="270558BD" w14:textId="77777777" w:rsidR="00522DFC" w:rsidRDefault="00522DFC" w:rsidP="001E1006">
            <w:pPr>
              <w:rPr>
                <w:sz w:val="20"/>
              </w:rPr>
            </w:pPr>
            <w:r>
              <w:rPr>
                <w:sz w:val="20"/>
              </w:rPr>
              <w:t>Maharashtra</w:t>
            </w:r>
          </w:p>
        </w:tc>
        <w:tc>
          <w:tcPr>
            <w:tcW w:w="1585" w:type="dxa"/>
          </w:tcPr>
          <w:p w14:paraId="132A0914" w14:textId="77777777" w:rsidR="00522DFC" w:rsidRDefault="00522DFC" w:rsidP="001E1006">
            <w:pPr>
              <w:jc w:val="center"/>
              <w:rPr>
                <w:sz w:val="20"/>
              </w:rPr>
            </w:pPr>
            <w:r>
              <w:rPr>
                <w:sz w:val="20"/>
              </w:rPr>
              <w:t>34,000</w:t>
            </w:r>
          </w:p>
        </w:tc>
      </w:tr>
      <w:tr w:rsidR="00522DFC" w14:paraId="1077B226" w14:textId="77777777" w:rsidTr="0048739E">
        <w:trPr>
          <w:trHeight w:val="245"/>
        </w:trPr>
        <w:tc>
          <w:tcPr>
            <w:tcW w:w="1585" w:type="dxa"/>
          </w:tcPr>
          <w:p w14:paraId="11B25165" w14:textId="77777777" w:rsidR="00522DFC" w:rsidRDefault="00522DFC" w:rsidP="001E1006">
            <w:pPr>
              <w:rPr>
                <w:sz w:val="20"/>
              </w:rPr>
            </w:pPr>
            <w:r>
              <w:rPr>
                <w:sz w:val="20"/>
              </w:rPr>
              <w:t>Chattisgarh</w:t>
            </w:r>
          </w:p>
        </w:tc>
        <w:tc>
          <w:tcPr>
            <w:tcW w:w="1585" w:type="dxa"/>
          </w:tcPr>
          <w:p w14:paraId="00E947E4" w14:textId="77777777" w:rsidR="00522DFC" w:rsidRDefault="00522DFC" w:rsidP="001E1006">
            <w:pPr>
              <w:jc w:val="center"/>
              <w:rPr>
                <w:sz w:val="20"/>
              </w:rPr>
            </w:pPr>
            <w:r>
              <w:rPr>
                <w:sz w:val="20"/>
              </w:rPr>
              <w:t>6,100</w:t>
            </w:r>
          </w:p>
        </w:tc>
      </w:tr>
      <w:tr w:rsidR="00522DFC" w14:paraId="5EF8AE3C" w14:textId="77777777" w:rsidTr="0048739E">
        <w:trPr>
          <w:trHeight w:val="255"/>
        </w:trPr>
        <w:tc>
          <w:tcPr>
            <w:tcW w:w="1585" w:type="dxa"/>
          </w:tcPr>
          <w:p w14:paraId="5AFA17BF" w14:textId="77777777" w:rsidR="00522DFC" w:rsidRDefault="00522DFC" w:rsidP="001E1006">
            <w:pPr>
              <w:rPr>
                <w:sz w:val="20"/>
              </w:rPr>
            </w:pPr>
            <w:r>
              <w:rPr>
                <w:sz w:val="20"/>
              </w:rPr>
              <w:t>AP</w:t>
            </w:r>
          </w:p>
        </w:tc>
        <w:tc>
          <w:tcPr>
            <w:tcW w:w="1585" w:type="dxa"/>
          </w:tcPr>
          <w:p w14:paraId="476DEBB7" w14:textId="77777777" w:rsidR="00522DFC" w:rsidRDefault="00522DFC" w:rsidP="001E1006">
            <w:pPr>
              <w:jc w:val="center"/>
              <w:rPr>
                <w:sz w:val="20"/>
              </w:rPr>
            </w:pPr>
            <w:r>
              <w:rPr>
                <w:sz w:val="20"/>
              </w:rPr>
              <w:t>3,600</w:t>
            </w:r>
          </w:p>
        </w:tc>
      </w:tr>
      <w:tr w:rsidR="00522DFC" w14:paraId="153FCE55" w14:textId="77777777" w:rsidTr="0048739E">
        <w:trPr>
          <w:trHeight w:val="245"/>
        </w:trPr>
        <w:tc>
          <w:tcPr>
            <w:tcW w:w="1585" w:type="dxa"/>
          </w:tcPr>
          <w:p w14:paraId="05411D13" w14:textId="77777777" w:rsidR="00522DFC" w:rsidRDefault="00522DFC" w:rsidP="001E1006">
            <w:pPr>
              <w:rPr>
                <w:sz w:val="20"/>
              </w:rPr>
            </w:pPr>
            <w:r>
              <w:rPr>
                <w:sz w:val="20"/>
              </w:rPr>
              <w:t>Telengana</w:t>
            </w:r>
          </w:p>
        </w:tc>
        <w:tc>
          <w:tcPr>
            <w:tcW w:w="1585" w:type="dxa"/>
          </w:tcPr>
          <w:p w14:paraId="2E051D3F" w14:textId="77777777" w:rsidR="00522DFC" w:rsidRDefault="00522DFC" w:rsidP="001E1006">
            <w:pPr>
              <w:jc w:val="center"/>
              <w:rPr>
                <w:sz w:val="20"/>
              </w:rPr>
            </w:pPr>
            <w:r>
              <w:rPr>
                <w:sz w:val="20"/>
              </w:rPr>
              <w:t>3,000</w:t>
            </w:r>
          </w:p>
        </w:tc>
      </w:tr>
      <w:tr w:rsidR="00522DFC" w14:paraId="6AAD1FA2" w14:textId="77777777" w:rsidTr="0048739E">
        <w:trPr>
          <w:trHeight w:val="255"/>
        </w:trPr>
        <w:tc>
          <w:tcPr>
            <w:tcW w:w="1585" w:type="dxa"/>
          </w:tcPr>
          <w:p w14:paraId="4BDB618E" w14:textId="77777777" w:rsidR="00522DFC" w:rsidRDefault="00522DFC" w:rsidP="001E1006">
            <w:pPr>
              <w:rPr>
                <w:sz w:val="20"/>
              </w:rPr>
            </w:pPr>
            <w:r>
              <w:rPr>
                <w:sz w:val="20"/>
              </w:rPr>
              <w:t>TN</w:t>
            </w:r>
          </w:p>
        </w:tc>
        <w:tc>
          <w:tcPr>
            <w:tcW w:w="1585" w:type="dxa"/>
          </w:tcPr>
          <w:p w14:paraId="3A3A53C9" w14:textId="77777777" w:rsidR="00522DFC" w:rsidRDefault="00522DFC" w:rsidP="001E1006">
            <w:pPr>
              <w:jc w:val="center"/>
              <w:rPr>
                <w:sz w:val="20"/>
              </w:rPr>
            </w:pPr>
            <w:r>
              <w:rPr>
                <w:sz w:val="20"/>
              </w:rPr>
              <w:t>1,800</w:t>
            </w:r>
          </w:p>
        </w:tc>
      </w:tr>
      <w:tr w:rsidR="00522DFC" w14:paraId="34E1CA4A" w14:textId="77777777" w:rsidTr="0048739E">
        <w:trPr>
          <w:trHeight w:val="245"/>
        </w:trPr>
        <w:tc>
          <w:tcPr>
            <w:tcW w:w="1585" w:type="dxa"/>
          </w:tcPr>
          <w:p w14:paraId="0EA36CFC" w14:textId="77777777" w:rsidR="00522DFC" w:rsidRDefault="00522DFC" w:rsidP="001E1006">
            <w:pPr>
              <w:rPr>
                <w:sz w:val="20"/>
              </w:rPr>
            </w:pPr>
            <w:r>
              <w:rPr>
                <w:sz w:val="20"/>
              </w:rPr>
              <w:t>PB</w:t>
            </w:r>
          </w:p>
        </w:tc>
        <w:tc>
          <w:tcPr>
            <w:tcW w:w="1585" w:type="dxa"/>
          </w:tcPr>
          <w:p w14:paraId="2E98BEF0" w14:textId="77777777" w:rsidR="00522DFC" w:rsidRDefault="00522DFC" w:rsidP="001E1006">
            <w:pPr>
              <w:jc w:val="center"/>
              <w:rPr>
                <w:sz w:val="20"/>
              </w:rPr>
            </w:pPr>
            <w:r>
              <w:rPr>
                <w:sz w:val="20"/>
              </w:rPr>
              <w:t>1,500</w:t>
            </w:r>
          </w:p>
        </w:tc>
      </w:tr>
      <w:tr w:rsidR="00522DFC" w14:paraId="2CABA445" w14:textId="77777777" w:rsidTr="0048739E">
        <w:trPr>
          <w:trHeight w:val="255"/>
        </w:trPr>
        <w:tc>
          <w:tcPr>
            <w:tcW w:w="1585" w:type="dxa"/>
          </w:tcPr>
          <w:p w14:paraId="551A4F33" w14:textId="77777777" w:rsidR="00522DFC" w:rsidRDefault="00522DFC" w:rsidP="001E1006">
            <w:pPr>
              <w:rPr>
                <w:sz w:val="20"/>
              </w:rPr>
            </w:pPr>
            <w:r>
              <w:rPr>
                <w:sz w:val="20"/>
              </w:rPr>
              <w:t>Assam</w:t>
            </w:r>
          </w:p>
        </w:tc>
        <w:tc>
          <w:tcPr>
            <w:tcW w:w="1585" w:type="dxa"/>
          </w:tcPr>
          <w:p w14:paraId="6D5D3AF4" w14:textId="77777777" w:rsidR="00522DFC" w:rsidRDefault="00522DFC" w:rsidP="001E1006">
            <w:pPr>
              <w:jc w:val="center"/>
              <w:rPr>
                <w:sz w:val="20"/>
              </w:rPr>
            </w:pPr>
            <w:r>
              <w:rPr>
                <w:sz w:val="20"/>
              </w:rPr>
              <w:t>650</w:t>
            </w:r>
          </w:p>
        </w:tc>
      </w:tr>
      <w:tr w:rsidR="00522DFC" w14:paraId="3FFEF174" w14:textId="77777777" w:rsidTr="0048739E">
        <w:trPr>
          <w:trHeight w:val="245"/>
        </w:trPr>
        <w:tc>
          <w:tcPr>
            <w:tcW w:w="1585" w:type="dxa"/>
          </w:tcPr>
          <w:p w14:paraId="4FC9A7D5" w14:textId="77777777" w:rsidR="00522DFC" w:rsidRPr="00627C85" w:rsidRDefault="00522DFC" w:rsidP="001E1006">
            <w:pPr>
              <w:rPr>
                <w:b/>
                <w:sz w:val="20"/>
              </w:rPr>
            </w:pPr>
            <w:r w:rsidRPr="00627C85">
              <w:rPr>
                <w:b/>
                <w:sz w:val="20"/>
              </w:rPr>
              <w:t>Total</w:t>
            </w:r>
          </w:p>
        </w:tc>
        <w:tc>
          <w:tcPr>
            <w:tcW w:w="1585" w:type="dxa"/>
          </w:tcPr>
          <w:p w14:paraId="06387C23" w14:textId="77777777" w:rsidR="00522DFC" w:rsidRPr="00627C85" w:rsidRDefault="00522DFC" w:rsidP="001E1006">
            <w:pPr>
              <w:jc w:val="center"/>
              <w:rPr>
                <w:b/>
                <w:sz w:val="20"/>
              </w:rPr>
            </w:pPr>
            <w:r w:rsidRPr="00627C85">
              <w:rPr>
                <w:b/>
                <w:sz w:val="20"/>
              </w:rPr>
              <w:t>168,650</w:t>
            </w:r>
          </w:p>
        </w:tc>
      </w:tr>
    </w:tbl>
    <w:p w14:paraId="4E3EDE16" w14:textId="7B887DC9" w:rsidR="00522DFC" w:rsidRPr="0048739E" w:rsidRDefault="00522DFC" w:rsidP="00466992">
      <w:pPr>
        <w:rPr>
          <w:i/>
          <w:sz w:val="18"/>
        </w:rPr>
      </w:pPr>
      <w:r w:rsidRPr="0048739E">
        <w:rPr>
          <w:i/>
          <w:sz w:val="16"/>
        </w:rPr>
        <w:t>Source: Bloomberg Quint – 19Dec18</w:t>
      </w:r>
    </w:p>
    <w:p w14:paraId="4DBDCF7F" w14:textId="7A4AABDD" w:rsidR="00D67C0E" w:rsidRPr="00FF584F" w:rsidRDefault="00466992" w:rsidP="00466992">
      <w:r>
        <w:t>Depending on the specific conditions of the waivers and whether they are announced by Central or State governments, farm loan waivers relate to the institutional/ banki</w:t>
      </w:r>
      <w:r w:rsidR="00161242">
        <w:t>ng sector credit and surely do</w:t>
      </w:r>
      <w:r>
        <w:t xml:space="preserve"> not cover private &amp; non-institutional sources of credit. This </w:t>
      </w:r>
      <w:r w:rsidR="00D67C0E" w:rsidRPr="00FF584F">
        <w:t>impl</w:t>
      </w:r>
      <w:r>
        <w:t>ies</w:t>
      </w:r>
      <w:r w:rsidR="00D67C0E" w:rsidRPr="00FF584F">
        <w:t xml:space="preserve"> waiver benefits don’t reach the smallest farmers dependent on such non-institutional sources of credit</w:t>
      </w:r>
      <w:r>
        <w:t>.</w:t>
      </w:r>
    </w:p>
    <w:p w14:paraId="05CE07A4" w14:textId="3E4E703F" w:rsidR="00D67C0E" w:rsidRPr="00522DFC" w:rsidRDefault="00466992" w:rsidP="00D67C0E">
      <w:r w:rsidRPr="00522DFC">
        <w:t>Keeping aside the borrower profile for a moment, what do data tell us about the possible end-uses of agricultural credit?</w:t>
      </w:r>
    </w:p>
    <w:p w14:paraId="4C07E383" w14:textId="3C9B9E14" w:rsidR="00D67C0E" w:rsidRPr="00FF584F" w:rsidRDefault="00466992" w:rsidP="00D67C0E">
      <w:r>
        <w:t xml:space="preserve">From </w:t>
      </w:r>
      <w:r w:rsidR="00D67C0E" w:rsidRPr="00FF584F">
        <w:t>2001-02 onwards</w:t>
      </w:r>
      <w:r>
        <w:t>, there has been a</w:t>
      </w:r>
      <w:r w:rsidR="00D67C0E" w:rsidRPr="00FF584F">
        <w:t xml:space="preserve"> sharp divergence b</w:t>
      </w:r>
      <w:r>
        <w:t>et</w:t>
      </w:r>
      <w:r w:rsidR="00D67C0E" w:rsidRPr="00FF584F">
        <w:t>w</w:t>
      </w:r>
      <w:r>
        <w:t>een</w:t>
      </w:r>
      <w:r w:rsidR="00D67C0E" w:rsidRPr="00FF584F">
        <w:t xml:space="preserve"> agri</w:t>
      </w:r>
      <w:r>
        <w:t>cultural</w:t>
      </w:r>
      <w:r w:rsidR="00D67C0E" w:rsidRPr="00FF584F">
        <w:t xml:space="preserve"> credit &amp; agri</w:t>
      </w:r>
      <w:r>
        <w:t>cultural</w:t>
      </w:r>
      <w:r w:rsidR="00D67C0E" w:rsidRPr="00FF584F">
        <w:t xml:space="preserve"> capital formation</w:t>
      </w:r>
      <w:r>
        <w:t xml:space="preserve">. There has been much </w:t>
      </w:r>
      <w:r w:rsidR="00D67C0E" w:rsidRPr="00FF584F">
        <w:t xml:space="preserve">faster growth &amp; </w:t>
      </w:r>
      <w:r>
        <w:t xml:space="preserve">consequently a much </w:t>
      </w:r>
      <w:r w:rsidR="00D67C0E" w:rsidRPr="00FF584F">
        <w:t xml:space="preserve">higher </w:t>
      </w:r>
      <w:r>
        <w:t xml:space="preserve">overall </w:t>
      </w:r>
      <w:r w:rsidR="00D67C0E" w:rsidRPr="00FF584F">
        <w:t>share of short-term crop loans vs term loans to finance investments</w:t>
      </w:r>
      <w:r>
        <w:t xml:space="preserve">. </w:t>
      </w:r>
    </w:p>
    <w:p w14:paraId="358A0899" w14:textId="77777777" w:rsidR="001D3969" w:rsidRDefault="001D3969" w:rsidP="001D3969">
      <w:pPr>
        <w:rPr>
          <w:color w:val="000000" w:themeColor="text1"/>
        </w:rPr>
      </w:pPr>
      <w:r w:rsidRPr="009118C1">
        <w:rPr>
          <w:noProof/>
          <w:color w:val="000000" w:themeColor="text1"/>
          <w:lang w:val="en-US"/>
        </w:rPr>
        <w:drawing>
          <wp:inline distT="0" distB="0" distL="0" distR="0" wp14:anchorId="308F8CAA" wp14:editId="14EDC1B6">
            <wp:extent cx="2946400" cy="2334257"/>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369" cy="2346908"/>
                    </a:xfrm>
                    <a:prstGeom prst="rect">
                      <a:avLst/>
                    </a:prstGeom>
                    <a:noFill/>
                    <a:ln>
                      <a:noFill/>
                    </a:ln>
                  </pic:spPr>
                </pic:pic>
              </a:graphicData>
            </a:graphic>
          </wp:inline>
        </w:drawing>
      </w:r>
    </w:p>
    <w:p w14:paraId="0B78B39F" w14:textId="77777777" w:rsidR="001D3969" w:rsidRDefault="001D3969" w:rsidP="001D3969">
      <w:pPr>
        <w:rPr>
          <w:color w:val="000000" w:themeColor="text1"/>
        </w:rPr>
      </w:pPr>
      <w:r w:rsidRPr="00CB0467">
        <w:rPr>
          <w:i/>
          <w:color w:val="000000" w:themeColor="text1"/>
          <w:sz w:val="18"/>
        </w:rPr>
        <w:t>(</w:t>
      </w:r>
      <w:r>
        <w:rPr>
          <w:i/>
          <w:color w:val="000000" w:themeColor="text1"/>
          <w:sz w:val="18"/>
        </w:rPr>
        <w:t>s</w:t>
      </w:r>
      <w:r w:rsidRPr="00CB0467">
        <w:rPr>
          <w:i/>
          <w:color w:val="000000" w:themeColor="text1"/>
          <w:sz w:val="18"/>
        </w:rPr>
        <w:t xml:space="preserve">ource: </w:t>
      </w:r>
      <w:r>
        <w:rPr>
          <w:i/>
          <w:color w:val="000000" w:themeColor="text1"/>
          <w:sz w:val="18"/>
        </w:rPr>
        <w:t>Ramakumar &amp; Chavan, 2014</w:t>
      </w:r>
      <w:r w:rsidRPr="00CB0467">
        <w:rPr>
          <w:i/>
          <w:color w:val="000000" w:themeColor="text1"/>
          <w:sz w:val="18"/>
        </w:rPr>
        <w:t>)</w:t>
      </w:r>
    </w:p>
    <w:p w14:paraId="64A8813D" w14:textId="2395197D" w:rsidR="00D67C0E" w:rsidRDefault="00466992">
      <w:r>
        <w:t>So</w:t>
      </w:r>
      <w:r w:rsidR="00522DFC">
        <w:t>,</w:t>
      </w:r>
      <w:r>
        <w:t xml:space="preserve"> could it be that government </w:t>
      </w:r>
      <w:r w:rsidR="00057906">
        <w:t>spending on capital formation has led to this divergence?</w:t>
      </w:r>
    </w:p>
    <w:p w14:paraId="720E4C0C" w14:textId="768C4EAD" w:rsidR="00057906" w:rsidRDefault="00057906">
      <w:r>
        <w:t xml:space="preserve">As the two tables with Gross Capital Formation in agriculture below show, the contribution of public sector </w:t>
      </w:r>
      <w:r w:rsidR="008251C0">
        <w:t xml:space="preserve">in total amount spent as well as a percentage of GDP </w:t>
      </w:r>
      <w:r>
        <w:t xml:space="preserve">has stagnated between 2004-05 and 2010-11. </w:t>
      </w:r>
      <w:r w:rsidR="008251C0">
        <w:t>At the same time, while the share of private sector as a percentage of GDP has remained constant during the same period, the absolute amount spent has almost doubled (with prices held constant at 2004-05 levels).</w:t>
      </w:r>
    </w:p>
    <w:p w14:paraId="182C308C" w14:textId="3BD6675C" w:rsidR="00057906" w:rsidRDefault="00057906">
      <w:r w:rsidRPr="00057906">
        <w:rPr>
          <w:noProof/>
          <w:lang w:val="en-US"/>
        </w:rPr>
        <w:lastRenderedPageBreak/>
        <w:drawing>
          <wp:inline distT="0" distB="0" distL="0" distR="0" wp14:anchorId="031F37AC" wp14:editId="564496DC">
            <wp:extent cx="5192583" cy="1676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288" cy="1676628"/>
                    </a:xfrm>
                    <a:prstGeom prst="rect">
                      <a:avLst/>
                    </a:prstGeom>
                    <a:noFill/>
                    <a:ln>
                      <a:noFill/>
                    </a:ln>
                  </pic:spPr>
                </pic:pic>
              </a:graphicData>
            </a:graphic>
          </wp:inline>
        </w:drawing>
      </w:r>
    </w:p>
    <w:p w14:paraId="603A72B1" w14:textId="3947F030" w:rsidR="00057906" w:rsidRDefault="00057906">
      <w:r w:rsidRPr="00057906">
        <w:rPr>
          <w:noProof/>
          <w:lang w:val="en-US"/>
        </w:rPr>
        <w:drawing>
          <wp:inline distT="0" distB="0" distL="0" distR="0" wp14:anchorId="299D3944" wp14:editId="735037B9">
            <wp:extent cx="5151919"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663" cy="1473413"/>
                    </a:xfrm>
                    <a:prstGeom prst="rect">
                      <a:avLst/>
                    </a:prstGeom>
                    <a:noFill/>
                    <a:ln>
                      <a:noFill/>
                    </a:ln>
                  </pic:spPr>
                </pic:pic>
              </a:graphicData>
            </a:graphic>
          </wp:inline>
        </w:drawing>
      </w:r>
    </w:p>
    <w:p w14:paraId="17D62301" w14:textId="0C66699D" w:rsidR="00057906" w:rsidRDefault="0003746D">
      <w:r>
        <w:t>Having explored the situation on the agricultural credit side with the help of publicly available data, we now turn attention to the situation on the industrial credit side.</w:t>
      </w:r>
    </w:p>
    <w:p w14:paraId="095C990A" w14:textId="06E02C96" w:rsidR="00161242" w:rsidRDefault="00161242" w:rsidP="00161242">
      <w:pPr>
        <w:pStyle w:val="Heading2"/>
      </w:pPr>
      <w:r>
        <w:t>The Size Distribution of Corporate NPAs</w:t>
      </w:r>
    </w:p>
    <w:p w14:paraId="18545BC0" w14:textId="5059A44B" w:rsidR="008251C0" w:rsidRPr="0003746D" w:rsidRDefault="00354080" w:rsidP="001D3969">
      <w:r w:rsidRPr="0003746D">
        <w:t xml:space="preserve">What is the extent of concentration in lending by banks to corporates? </w:t>
      </w:r>
    </w:p>
    <w:p w14:paraId="4D708547" w14:textId="199A90CF" w:rsidR="00AE2B6D" w:rsidRPr="00AE2B6D" w:rsidRDefault="00AE2B6D" w:rsidP="001D3969">
      <w:pPr>
        <w:rPr>
          <w:i/>
        </w:rPr>
      </w:pPr>
      <w:r w:rsidRPr="00AE2B6D">
        <w:rPr>
          <w:i/>
        </w:rPr>
        <w:t>Source: Report on Trend and Progress in Indian Banking, RBI- 28Dec2018</w:t>
      </w:r>
    </w:p>
    <w:p w14:paraId="1B055073" w14:textId="16557EA2" w:rsidR="00354080" w:rsidRDefault="00354080" w:rsidP="001D3969">
      <w:r>
        <w:t xml:space="preserve">Total </w:t>
      </w:r>
      <w:r w:rsidR="00501968">
        <w:t xml:space="preserve">gross </w:t>
      </w:r>
      <w:r>
        <w:t xml:space="preserve">bank credit </w:t>
      </w:r>
      <w:r w:rsidR="00501968">
        <w:t>wa</w:t>
      </w:r>
      <w:r>
        <w:t xml:space="preserve">s </w:t>
      </w:r>
      <w:r w:rsidR="00501968">
        <w:t>~</w:t>
      </w:r>
      <w:r>
        <w:t xml:space="preserve">Rs. </w:t>
      </w:r>
      <w:r w:rsidR="00501968">
        <w:t>71.5</w:t>
      </w:r>
      <w:r>
        <w:t xml:space="preserve"> </w:t>
      </w:r>
      <w:r w:rsidR="00501968">
        <w:t xml:space="preserve">lac </w:t>
      </w:r>
      <w:r>
        <w:t>crores</w:t>
      </w:r>
      <w:r w:rsidR="00501968">
        <w:t xml:space="preserve"> as of Mar2017 and and ~Rs.77 lac crores as of Mar2018.</w:t>
      </w:r>
      <w:r w:rsidR="0003746D">
        <w:t xml:space="preserve"> </w:t>
      </w:r>
      <w:r w:rsidR="00501968">
        <w:t>Of this, agricultural credit was ~Rs. 10 lac crores for both periods reflecting 13-14% share in overall bank credit.</w:t>
      </w:r>
      <w:r w:rsidR="0003746D">
        <w:t xml:space="preserve"> </w:t>
      </w:r>
      <w:r>
        <w:t>Total</w:t>
      </w:r>
      <w:r w:rsidR="0003746D">
        <w:t xml:space="preserve"> </w:t>
      </w:r>
      <w:r>
        <w:t xml:space="preserve">credit to </w:t>
      </w:r>
      <w:r w:rsidR="00501968">
        <w:t>industry was ~Rs. 26-27 lac crores during the same periods</w:t>
      </w:r>
      <w:r w:rsidR="0003746D">
        <w:t xml:space="preserve"> reflecting a share of ~35%</w:t>
      </w:r>
      <w:r w:rsidR="00501968">
        <w:t xml:space="preserve">. Within this, the exposure to large borrowers which the RBI defines as borrowing facilities above Rs. 5 crores, was ~Rs. 22 lac crores. </w:t>
      </w:r>
    </w:p>
    <w:p w14:paraId="5B1B013D" w14:textId="57A810A6" w:rsidR="0066273D" w:rsidRDefault="0003746D" w:rsidP="001D3969">
      <w:r>
        <w:t xml:space="preserve">It must be </w:t>
      </w:r>
      <w:r w:rsidR="00AE2B6D">
        <w:t>note</w:t>
      </w:r>
      <w:r>
        <w:t>d</w:t>
      </w:r>
      <w:r w:rsidR="00AE2B6D">
        <w:t xml:space="preserve"> that the t</w:t>
      </w:r>
      <w:r w:rsidR="00354080">
        <w:t>otal credit to top 1</w:t>
      </w:r>
      <w:r w:rsidR="00AE2B6D">
        <w:t>0</w:t>
      </w:r>
      <w:r w:rsidR="00354080">
        <w:t xml:space="preserve"> corporates</w:t>
      </w:r>
      <w:r w:rsidR="00AE2B6D">
        <w:t xml:space="preserve">, as per </w:t>
      </w:r>
      <w:r w:rsidR="001155FA">
        <w:t xml:space="preserve">a research report titled ‘House of Debt’ published by Credit Suisse, as of Mar15 </w:t>
      </w:r>
      <w:r w:rsidR="00AE2B6D">
        <w:t>wa</w:t>
      </w:r>
      <w:r w:rsidR="00354080">
        <w:t xml:space="preserve">s </w:t>
      </w:r>
      <w:r w:rsidR="001155FA">
        <w:t>~</w:t>
      </w:r>
      <w:r w:rsidR="00354080">
        <w:t xml:space="preserve">Rs. </w:t>
      </w:r>
      <w:r w:rsidR="001155FA">
        <w:t>7 lac</w:t>
      </w:r>
      <w:r w:rsidR="00354080">
        <w:t xml:space="preserve"> crores</w:t>
      </w:r>
      <w:r>
        <w:t xml:space="preserve"> (accounting for 10-15% of total bank credit</w:t>
      </w:r>
      <w:r w:rsidR="00DC2117">
        <w:t>,</w:t>
      </w:r>
      <w:r w:rsidR="00801A95">
        <w:t xml:space="preserve"> </w:t>
      </w:r>
      <w:r w:rsidR="00DC2117" w:rsidRPr="00DC2117">
        <w:rPr>
          <w:highlight w:val="darkGray"/>
        </w:rPr>
        <w:t>~2</w:t>
      </w:r>
      <w:r w:rsidR="00DC2117">
        <w:rPr>
          <w:highlight w:val="darkGray"/>
        </w:rPr>
        <w:t>7</w:t>
      </w:r>
      <w:r w:rsidR="00801A95" w:rsidRPr="00DC2117">
        <w:rPr>
          <w:highlight w:val="darkGray"/>
        </w:rPr>
        <w:t>% of total credit</w:t>
      </w:r>
      <w:r w:rsidR="00DC2117" w:rsidRPr="00DC2117">
        <w:rPr>
          <w:highlight w:val="darkGray"/>
        </w:rPr>
        <w:t xml:space="preserve"> to industry </w:t>
      </w:r>
      <w:r w:rsidR="00DC2117">
        <w:rPr>
          <w:highlight w:val="darkGray"/>
        </w:rPr>
        <w:t>and</w:t>
      </w:r>
      <w:r w:rsidR="00DC2117" w:rsidRPr="00DC2117">
        <w:rPr>
          <w:highlight w:val="darkGray"/>
        </w:rPr>
        <w:t xml:space="preserve"> </w:t>
      </w:r>
      <w:r w:rsidR="00DC2117">
        <w:rPr>
          <w:highlight w:val="darkGray"/>
        </w:rPr>
        <w:t xml:space="preserve">~34% </w:t>
      </w:r>
      <w:r w:rsidR="00DC2117" w:rsidRPr="00DC2117">
        <w:rPr>
          <w:highlight w:val="darkGray"/>
        </w:rPr>
        <w:t xml:space="preserve">of </w:t>
      </w:r>
      <w:r w:rsidR="00DC2117">
        <w:rPr>
          <w:highlight w:val="darkGray"/>
        </w:rPr>
        <w:t xml:space="preserve">total </w:t>
      </w:r>
      <w:r w:rsidR="00DC2117" w:rsidRPr="00DC2117">
        <w:rPr>
          <w:highlight w:val="darkGray"/>
        </w:rPr>
        <w:t>credit to large industry segment</w:t>
      </w:r>
      <w:r w:rsidR="00801A95">
        <w:t xml:space="preserve">, </w:t>
      </w:r>
      <w:r>
        <w:t>depending on the time period chosen)</w:t>
      </w:r>
      <w:r w:rsidR="001155FA">
        <w:t xml:space="preserve">. For the same period, total gross bank credit was ~Rs. 61 lac crores and the total credit to agricultural &amp; allied activities was Rs. 7.7 lac crores. This clearly shows that what the entire agriculture sector owed the banking system was similar to the amounts </w:t>
      </w:r>
      <w:r w:rsidR="00EE7FBA">
        <w:t>borr</w:t>
      </w:r>
      <w:r w:rsidR="001155FA">
        <w:t>owed by the top Indian corporates.</w:t>
      </w:r>
      <w:r w:rsidR="00EE7FBA">
        <w:t xml:space="preserve"> This will also include a component of funding raised via debt capital markets but our estimate is that it will be a very small proportion. </w:t>
      </w:r>
      <w:r w:rsidR="0066273D">
        <w:t>The amount of debt on the books of top 10 Indian corporates as of 31Mar15 was:</w:t>
      </w:r>
    </w:p>
    <w:p w14:paraId="5DFFCE67" w14:textId="399E20D5" w:rsidR="00C844F5" w:rsidRDefault="00C844F5" w:rsidP="001D3969"/>
    <w:p w14:paraId="025E55F0" w14:textId="78138165" w:rsidR="00C844F5" w:rsidRDefault="00C844F5" w:rsidP="001D3969"/>
    <w:p w14:paraId="1F57FC27" w14:textId="0D712356" w:rsidR="00C844F5" w:rsidRDefault="00C844F5" w:rsidP="001D3969"/>
    <w:p w14:paraId="48655270" w14:textId="7218755E" w:rsidR="00C844F5" w:rsidRDefault="00C844F5" w:rsidP="001D3969"/>
    <w:p w14:paraId="2F5B7975" w14:textId="77777777" w:rsidR="00C844F5" w:rsidRDefault="00C844F5" w:rsidP="001D3969"/>
    <w:tbl>
      <w:tblPr>
        <w:tblW w:w="2263" w:type="dxa"/>
        <w:tblLook w:val="04A0" w:firstRow="1" w:lastRow="0" w:firstColumn="1" w:lastColumn="0" w:noHBand="0" w:noVBand="1"/>
      </w:tblPr>
      <w:tblGrid>
        <w:gridCol w:w="1129"/>
        <w:gridCol w:w="1134"/>
      </w:tblGrid>
      <w:tr w:rsidR="00EE7FBA" w:rsidRPr="00EE7FBA" w14:paraId="2009F137" w14:textId="77777777" w:rsidTr="00EE7FBA">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3739" w14:textId="557E80A8" w:rsidR="00EE7FBA" w:rsidRPr="00EE7FBA" w:rsidRDefault="0048739E" w:rsidP="00EE7F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Group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3055E93" w14:textId="0F5A7691" w:rsidR="00EE7FBA" w:rsidRPr="00EE7FBA" w:rsidRDefault="00EE7FBA" w:rsidP="00EE7FBA">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w:t>
            </w:r>
            <w:r w:rsidR="0048739E">
              <w:rPr>
                <w:rFonts w:ascii="Calibri" w:eastAsia="Times New Roman" w:hAnsi="Calibri" w:cs="Calibri"/>
                <w:color w:val="000000"/>
                <w:lang w:eastAsia="en-GB"/>
              </w:rPr>
              <w:t>Rs. Crs</w:t>
            </w:r>
          </w:p>
        </w:tc>
      </w:tr>
      <w:tr w:rsidR="0048739E" w:rsidRPr="00EE7FBA" w14:paraId="6245BC89" w14:textId="77777777" w:rsidTr="00EE7FBA">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CE5DD" w14:textId="47B27EA5"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Adani</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0B5197" w14:textId="25B15583"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96,000 </w:t>
            </w:r>
          </w:p>
        </w:tc>
      </w:tr>
      <w:tr w:rsidR="0048739E" w:rsidRPr="00EE7FBA" w14:paraId="627DB432"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8778D38"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Essar</w:t>
            </w:r>
          </w:p>
        </w:tc>
        <w:tc>
          <w:tcPr>
            <w:tcW w:w="1134" w:type="dxa"/>
            <w:tcBorders>
              <w:top w:val="nil"/>
              <w:left w:val="nil"/>
              <w:bottom w:val="single" w:sz="4" w:space="0" w:color="auto"/>
              <w:right w:val="single" w:sz="4" w:space="0" w:color="auto"/>
            </w:tcBorders>
            <w:shd w:val="clear" w:color="auto" w:fill="auto"/>
            <w:noWrap/>
            <w:vAlign w:val="bottom"/>
            <w:hideMark/>
          </w:tcPr>
          <w:p w14:paraId="5D7166B2"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100,000 </w:t>
            </w:r>
          </w:p>
        </w:tc>
      </w:tr>
      <w:tr w:rsidR="0048739E" w:rsidRPr="00EE7FBA" w14:paraId="44116FE4"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B76D3D5"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GMR</w:t>
            </w:r>
          </w:p>
        </w:tc>
        <w:tc>
          <w:tcPr>
            <w:tcW w:w="1134" w:type="dxa"/>
            <w:tcBorders>
              <w:top w:val="nil"/>
              <w:left w:val="nil"/>
              <w:bottom w:val="single" w:sz="4" w:space="0" w:color="auto"/>
              <w:right w:val="single" w:sz="4" w:space="0" w:color="auto"/>
            </w:tcBorders>
            <w:shd w:val="clear" w:color="auto" w:fill="auto"/>
            <w:noWrap/>
            <w:vAlign w:val="bottom"/>
            <w:hideMark/>
          </w:tcPr>
          <w:p w14:paraId="68A95AE8"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48,000 </w:t>
            </w:r>
          </w:p>
        </w:tc>
      </w:tr>
      <w:tr w:rsidR="0048739E" w:rsidRPr="00EE7FBA" w14:paraId="250DDA41"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BFE5019"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GVK</w:t>
            </w:r>
          </w:p>
        </w:tc>
        <w:tc>
          <w:tcPr>
            <w:tcW w:w="1134" w:type="dxa"/>
            <w:tcBorders>
              <w:top w:val="nil"/>
              <w:left w:val="nil"/>
              <w:bottom w:val="single" w:sz="4" w:space="0" w:color="auto"/>
              <w:right w:val="single" w:sz="4" w:space="0" w:color="auto"/>
            </w:tcBorders>
            <w:shd w:val="clear" w:color="auto" w:fill="auto"/>
            <w:noWrap/>
            <w:vAlign w:val="bottom"/>
            <w:hideMark/>
          </w:tcPr>
          <w:p w14:paraId="1653B9DC"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34,000 </w:t>
            </w:r>
          </w:p>
        </w:tc>
      </w:tr>
      <w:tr w:rsidR="0048739E" w:rsidRPr="00EE7FBA" w14:paraId="14629CF8"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F7AC555"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Jaypee</w:t>
            </w:r>
          </w:p>
        </w:tc>
        <w:tc>
          <w:tcPr>
            <w:tcW w:w="1134" w:type="dxa"/>
            <w:tcBorders>
              <w:top w:val="nil"/>
              <w:left w:val="nil"/>
              <w:bottom w:val="single" w:sz="4" w:space="0" w:color="auto"/>
              <w:right w:val="single" w:sz="4" w:space="0" w:color="auto"/>
            </w:tcBorders>
            <w:shd w:val="clear" w:color="auto" w:fill="auto"/>
            <w:noWrap/>
            <w:vAlign w:val="bottom"/>
            <w:hideMark/>
          </w:tcPr>
          <w:p w14:paraId="43F11FED"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75,000 </w:t>
            </w:r>
          </w:p>
        </w:tc>
      </w:tr>
      <w:tr w:rsidR="0048739E" w:rsidRPr="00EE7FBA" w14:paraId="00D9458C"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62C8FB7"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JSW</w:t>
            </w:r>
          </w:p>
        </w:tc>
        <w:tc>
          <w:tcPr>
            <w:tcW w:w="1134" w:type="dxa"/>
            <w:tcBorders>
              <w:top w:val="nil"/>
              <w:left w:val="nil"/>
              <w:bottom w:val="single" w:sz="4" w:space="0" w:color="auto"/>
              <w:right w:val="single" w:sz="4" w:space="0" w:color="auto"/>
            </w:tcBorders>
            <w:shd w:val="clear" w:color="auto" w:fill="auto"/>
            <w:noWrap/>
            <w:vAlign w:val="bottom"/>
            <w:hideMark/>
          </w:tcPr>
          <w:p w14:paraId="16922D1C"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58,000 </w:t>
            </w:r>
          </w:p>
        </w:tc>
      </w:tr>
      <w:tr w:rsidR="0048739E" w:rsidRPr="00EE7FBA" w14:paraId="2D9C0300"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A4DAC15"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Lanco</w:t>
            </w:r>
          </w:p>
        </w:tc>
        <w:tc>
          <w:tcPr>
            <w:tcW w:w="1134" w:type="dxa"/>
            <w:tcBorders>
              <w:top w:val="nil"/>
              <w:left w:val="nil"/>
              <w:bottom w:val="single" w:sz="4" w:space="0" w:color="auto"/>
              <w:right w:val="single" w:sz="4" w:space="0" w:color="auto"/>
            </w:tcBorders>
            <w:shd w:val="clear" w:color="auto" w:fill="auto"/>
            <w:noWrap/>
            <w:vAlign w:val="bottom"/>
            <w:hideMark/>
          </w:tcPr>
          <w:p w14:paraId="00CF5928"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47,000 </w:t>
            </w:r>
          </w:p>
        </w:tc>
      </w:tr>
      <w:tr w:rsidR="0048739E" w:rsidRPr="00EE7FBA" w14:paraId="0F9F67F1"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52BE051"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ADAG</w:t>
            </w:r>
          </w:p>
        </w:tc>
        <w:tc>
          <w:tcPr>
            <w:tcW w:w="1134" w:type="dxa"/>
            <w:tcBorders>
              <w:top w:val="nil"/>
              <w:left w:val="nil"/>
              <w:bottom w:val="single" w:sz="4" w:space="0" w:color="auto"/>
              <w:right w:val="single" w:sz="4" w:space="0" w:color="auto"/>
            </w:tcBorders>
            <w:shd w:val="clear" w:color="auto" w:fill="auto"/>
            <w:noWrap/>
            <w:vAlign w:val="bottom"/>
            <w:hideMark/>
          </w:tcPr>
          <w:p w14:paraId="0F4971CC"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125,000 </w:t>
            </w:r>
          </w:p>
        </w:tc>
      </w:tr>
      <w:tr w:rsidR="0048739E" w:rsidRPr="00EE7FBA" w14:paraId="62665277"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163514E"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Vedanta</w:t>
            </w:r>
          </w:p>
        </w:tc>
        <w:tc>
          <w:tcPr>
            <w:tcW w:w="1134" w:type="dxa"/>
            <w:tcBorders>
              <w:top w:val="nil"/>
              <w:left w:val="nil"/>
              <w:bottom w:val="single" w:sz="4" w:space="0" w:color="auto"/>
              <w:right w:val="single" w:sz="4" w:space="0" w:color="auto"/>
            </w:tcBorders>
            <w:shd w:val="clear" w:color="auto" w:fill="auto"/>
            <w:noWrap/>
            <w:vAlign w:val="bottom"/>
            <w:hideMark/>
          </w:tcPr>
          <w:p w14:paraId="0A33057D"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103,000 </w:t>
            </w:r>
          </w:p>
        </w:tc>
      </w:tr>
      <w:tr w:rsidR="0048739E" w:rsidRPr="00EE7FBA" w14:paraId="221C8552"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A769911"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Videocon</w:t>
            </w:r>
          </w:p>
        </w:tc>
        <w:tc>
          <w:tcPr>
            <w:tcW w:w="1134" w:type="dxa"/>
            <w:tcBorders>
              <w:top w:val="nil"/>
              <w:left w:val="nil"/>
              <w:bottom w:val="single" w:sz="4" w:space="0" w:color="auto"/>
              <w:right w:val="single" w:sz="4" w:space="0" w:color="auto"/>
            </w:tcBorders>
            <w:shd w:val="clear" w:color="auto" w:fill="auto"/>
            <w:noWrap/>
            <w:vAlign w:val="bottom"/>
            <w:hideMark/>
          </w:tcPr>
          <w:p w14:paraId="02DAE1FE" w14:textId="77777777" w:rsidR="0048739E" w:rsidRPr="00EE7FBA" w:rsidRDefault="0048739E" w:rsidP="0048739E">
            <w:pPr>
              <w:spacing w:after="0" w:line="240" w:lineRule="auto"/>
              <w:rPr>
                <w:rFonts w:ascii="Calibri" w:eastAsia="Times New Roman" w:hAnsi="Calibri" w:cs="Calibri"/>
                <w:color w:val="000000"/>
                <w:lang w:eastAsia="en-GB"/>
              </w:rPr>
            </w:pPr>
            <w:r w:rsidRPr="00EE7FBA">
              <w:rPr>
                <w:rFonts w:ascii="Calibri" w:eastAsia="Times New Roman" w:hAnsi="Calibri" w:cs="Calibri"/>
                <w:color w:val="000000"/>
                <w:lang w:eastAsia="en-GB"/>
              </w:rPr>
              <w:t xml:space="preserve">    45,000 </w:t>
            </w:r>
          </w:p>
        </w:tc>
      </w:tr>
      <w:tr w:rsidR="0048739E" w:rsidRPr="00EE7FBA" w14:paraId="30335404" w14:textId="77777777" w:rsidTr="00EE7FBA">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B336F89" w14:textId="77777777" w:rsidR="0048739E" w:rsidRPr="00EE7FBA" w:rsidRDefault="0048739E" w:rsidP="0048739E">
            <w:pPr>
              <w:spacing w:after="0" w:line="240" w:lineRule="auto"/>
              <w:rPr>
                <w:rFonts w:ascii="Calibri" w:eastAsia="Times New Roman" w:hAnsi="Calibri" w:cs="Calibri"/>
                <w:b/>
                <w:color w:val="000000"/>
                <w:lang w:eastAsia="en-GB"/>
              </w:rPr>
            </w:pPr>
            <w:r w:rsidRPr="00EE7FBA">
              <w:rPr>
                <w:rFonts w:ascii="Calibri" w:eastAsia="Times New Roman" w:hAnsi="Calibri" w:cs="Calibri"/>
                <w:b/>
                <w:color w:val="00000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3F4AB5F5" w14:textId="77777777" w:rsidR="0048739E" w:rsidRPr="00EE7FBA" w:rsidRDefault="0048739E" w:rsidP="0048739E">
            <w:pPr>
              <w:spacing w:after="0" w:line="240" w:lineRule="auto"/>
              <w:rPr>
                <w:rFonts w:ascii="Calibri" w:eastAsia="Times New Roman" w:hAnsi="Calibri" w:cs="Calibri"/>
                <w:b/>
                <w:color w:val="000000"/>
                <w:lang w:eastAsia="en-GB"/>
              </w:rPr>
            </w:pPr>
            <w:r w:rsidRPr="00EE7FBA">
              <w:rPr>
                <w:rFonts w:ascii="Calibri" w:eastAsia="Times New Roman" w:hAnsi="Calibri" w:cs="Calibri"/>
                <w:b/>
                <w:color w:val="000000"/>
                <w:lang w:eastAsia="en-GB"/>
              </w:rPr>
              <w:t xml:space="preserve">  731,000 </w:t>
            </w:r>
          </w:p>
        </w:tc>
      </w:tr>
    </w:tbl>
    <w:p w14:paraId="5C812CE8" w14:textId="77777777" w:rsidR="00EE7FBA" w:rsidRDefault="00EE7FBA" w:rsidP="001D3969"/>
    <w:p w14:paraId="7773BD1B" w14:textId="684C0482" w:rsidR="00354080" w:rsidRPr="0066273D" w:rsidRDefault="0066273D" w:rsidP="001D3969">
      <w:r w:rsidRPr="0066273D">
        <w:t xml:space="preserve">Now, let us try to understand the </w:t>
      </w:r>
      <w:r w:rsidR="00354080" w:rsidRPr="0066273D">
        <w:t xml:space="preserve">total extent of the </w:t>
      </w:r>
      <w:r w:rsidR="00220A00">
        <w:t xml:space="preserve">corporate </w:t>
      </w:r>
      <w:r w:rsidR="00354080" w:rsidRPr="0066273D">
        <w:t>NPA problem in the Indian banking sector</w:t>
      </w:r>
      <w:r w:rsidRPr="0066273D">
        <w:t>.</w:t>
      </w:r>
    </w:p>
    <w:p w14:paraId="0CE6432F" w14:textId="0EDFBB62" w:rsidR="001D3969" w:rsidRPr="002A0B46" w:rsidRDefault="00EE7FBA" w:rsidP="001D3969">
      <w:r>
        <w:t>According to RBI data, t</w:t>
      </w:r>
      <w:r w:rsidR="00354080">
        <w:t xml:space="preserve">otal </w:t>
      </w:r>
      <w:r w:rsidR="00501968">
        <w:t xml:space="preserve">gross </w:t>
      </w:r>
      <w:r w:rsidR="00354080">
        <w:t xml:space="preserve">NPAs </w:t>
      </w:r>
      <w:r w:rsidR="00501968">
        <w:t>in the Indian banking were</w:t>
      </w:r>
      <w:r w:rsidR="00354080">
        <w:t xml:space="preserve"> </w:t>
      </w:r>
      <w:r w:rsidR="00501968">
        <w:t>~</w:t>
      </w:r>
      <w:r w:rsidR="00354080">
        <w:t xml:space="preserve">Rs. </w:t>
      </w:r>
      <w:r w:rsidR="00501968">
        <w:t xml:space="preserve">8 lac </w:t>
      </w:r>
      <w:r w:rsidR="00354080">
        <w:t>crores</w:t>
      </w:r>
      <w:r w:rsidR="00501968">
        <w:t xml:space="preserve"> and ~Rs. 10</w:t>
      </w:r>
      <w:r w:rsidR="00440B50">
        <w:t>.3</w:t>
      </w:r>
      <w:r w:rsidR="00AE2B6D">
        <w:t xml:space="preserve"> lac crores as of Mar2017 and Mar2018 respectively. </w:t>
      </w:r>
      <w:r w:rsidR="00354080">
        <w:t xml:space="preserve">Top </w:t>
      </w:r>
      <w:r>
        <w:t xml:space="preserve">12 </w:t>
      </w:r>
      <w:r w:rsidR="00354080">
        <w:t xml:space="preserve">NPAs </w:t>
      </w:r>
      <w:r>
        <w:t xml:space="preserve">that make up ~25% of total NPAs </w:t>
      </w:r>
      <w:r w:rsidR="004E3DA1">
        <w:t>(approximate because the figures vary with the c</w:t>
      </w:r>
      <w:r w:rsidR="00E06C0D">
        <w:t>u</w:t>
      </w:r>
      <w:r w:rsidR="004E3DA1">
        <w:t xml:space="preserve">t-off date) </w:t>
      </w:r>
      <w:r>
        <w:t>in the banking sector were identified and referred to the NCLT by RBI in 2017.</w:t>
      </w:r>
      <w:r w:rsidR="00921FE3">
        <w:t xml:space="preserve"> </w:t>
      </w:r>
      <w:r w:rsidR="00E06C0D">
        <w:t>The</w:t>
      </w:r>
      <w:r w:rsidR="001D3969" w:rsidRPr="00FF584F">
        <w:t xml:space="preserve"> </w:t>
      </w:r>
      <w:r w:rsidR="00E06C0D">
        <w:t>s</w:t>
      </w:r>
      <w:r w:rsidR="001D3969" w:rsidRPr="00FF584F">
        <w:t xml:space="preserve">hare in NPAs of large borrowers (defined as &gt; INR 50mn exposure) </w:t>
      </w:r>
      <w:r w:rsidR="00E06C0D">
        <w:t xml:space="preserve">has been </w:t>
      </w:r>
      <w:r w:rsidR="001D3969" w:rsidRPr="00FF584F">
        <w:t>increasing over time</w:t>
      </w:r>
      <w:r w:rsidR="00E06C0D">
        <w:t xml:space="preserve">- </w:t>
      </w:r>
      <w:r w:rsidR="008802D0">
        <w:t xml:space="preserve">with a </w:t>
      </w:r>
      <w:r w:rsidR="001D3969" w:rsidRPr="00FF584F">
        <w:t xml:space="preserve">share in total advances </w:t>
      </w:r>
      <w:r w:rsidR="008802D0">
        <w:t>of ~</w:t>
      </w:r>
      <w:r w:rsidR="001D3969" w:rsidRPr="00FF584F">
        <w:t>40%</w:t>
      </w:r>
      <w:r w:rsidR="008802D0">
        <w:t>, large borrowers had a</w:t>
      </w:r>
      <w:r w:rsidR="001D3969" w:rsidRPr="00FF584F">
        <w:t xml:space="preserve"> share in total stressed assets ~ 70% as on end of FY17)</w:t>
      </w:r>
      <w:r w:rsidR="001D3969" w:rsidRPr="00181403">
        <w:rPr>
          <w:b/>
          <w:color w:val="4472C4" w:themeColor="accent1"/>
          <w:vertAlign w:val="superscript"/>
        </w:rPr>
        <w:t xml:space="preserve"> </w:t>
      </w:r>
      <w:r w:rsidR="001D3969">
        <w:rPr>
          <w:b/>
          <w:color w:val="4472C4" w:themeColor="accent1"/>
          <w:vertAlign w:val="superscript"/>
        </w:rPr>
        <w:t>2</w:t>
      </w:r>
    </w:p>
    <w:p w14:paraId="78AC06F0" w14:textId="77777777" w:rsidR="001D3969" w:rsidRDefault="001D3969" w:rsidP="00921FE3">
      <w:pPr>
        <w:rPr>
          <w:i/>
          <w:color w:val="000000" w:themeColor="text1"/>
          <w:sz w:val="18"/>
        </w:rPr>
      </w:pPr>
      <w:r w:rsidRPr="001353C9">
        <w:rPr>
          <w:i/>
          <w:noProof/>
          <w:color w:val="000000" w:themeColor="text1"/>
          <w:sz w:val="18"/>
          <w:lang w:val="en-US"/>
        </w:rPr>
        <w:drawing>
          <wp:inline distT="0" distB="0" distL="0" distR="0" wp14:anchorId="766AE8F9" wp14:editId="7E7897C2">
            <wp:extent cx="2940050" cy="1384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050" cy="1384300"/>
                    </a:xfrm>
                    <a:prstGeom prst="rect">
                      <a:avLst/>
                    </a:prstGeom>
                    <a:noFill/>
                    <a:ln>
                      <a:noFill/>
                    </a:ln>
                  </pic:spPr>
                </pic:pic>
              </a:graphicData>
            </a:graphic>
          </wp:inline>
        </w:drawing>
      </w:r>
    </w:p>
    <w:p w14:paraId="7A930D1C" w14:textId="77777777" w:rsidR="001D3969" w:rsidRDefault="001D3969" w:rsidP="00921FE3">
      <w:pPr>
        <w:rPr>
          <w:b/>
          <w:color w:val="4472C4" w:themeColor="accent1"/>
          <w:vertAlign w:val="superscript"/>
        </w:rPr>
      </w:pPr>
      <w:r w:rsidRPr="001353C9">
        <w:rPr>
          <w:i/>
          <w:color w:val="000000" w:themeColor="text1"/>
          <w:sz w:val="18"/>
        </w:rPr>
        <w:t>(source: RBI)</w:t>
      </w:r>
      <w:r>
        <w:rPr>
          <w:i/>
          <w:color w:val="000000" w:themeColor="text1"/>
          <w:sz w:val="18"/>
        </w:rPr>
        <w:t xml:space="preserve"> | Large borrowers defined as exposures above INR 50mn</w:t>
      </w:r>
      <w:r>
        <w:rPr>
          <w:b/>
          <w:color w:val="4472C4" w:themeColor="accent1"/>
          <w:vertAlign w:val="superscript"/>
        </w:rPr>
        <w:t>2</w:t>
      </w:r>
    </w:p>
    <w:p w14:paraId="1690CA56" w14:textId="77777777" w:rsidR="001D3969" w:rsidRDefault="001D3969">
      <w:bookmarkStart w:id="0" w:name="_GoBack"/>
      <w:bookmarkEnd w:id="0"/>
    </w:p>
    <w:p w14:paraId="2C8FA373" w14:textId="3EB3C921" w:rsidR="001D3969" w:rsidRPr="00921FE3" w:rsidRDefault="00921FE3" w:rsidP="00921FE3">
      <w:pPr>
        <w:rPr>
          <w:color w:val="FF0000"/>
        </w:rPr>
      </w:pPr>
      <w:r w:rsidRPr="00921FE3">
        <w:t>Of the top 12 NPA accounts mentioned above, f</w:t>
      </w:r>
      <w:r w:rsidR="0088124D" w:rsidRPr="00921FE3">
        <w:t>our have been resolved within a year with about 52% recovery, representing only 14% of the dues from these 12 accounts</w:t>
      </w:r>
      <w:r>
        <w:t xml:space="preserve"> as shown in the table below</w:t>
      </w:r>
      <w:r w:rsidR="0088124D" w:rsidRPr="00921FE3">
        <w:t>.</w:t>
      </w:r>
      <w:r w:rsidR="0088124D">
        <w:t xml:space="preserve"> </w:t>
      </w:r>
    </w:p>
    <w:tbl>
      <w:tblPr>
        <w:tblW w:w="9544" w:type="dxa"/>
        <w:tblInd w:w="-5" w:type="dxa"/>
        <w:tblLook w:val="04A0" w:firstRow="1" w:lastRow="0" w:firstColumn="1" w:lastColumn="0" w:noHBand="0" w:noVBand="1"/>
      </w:tblPr>
      <w:tblGrid>
        <w:gridCol w:w="1960"/>
        <w:gridCol w:w="1220"/>
        <w:gridCol w:w="1493"/>
        <w:gridCol w:w="1483"/>
        <w:gridCol w:w="1777"/>
        <w:gridCol w:w="1611"/>
      </w:tblGrid>
      <w:tr w:rsidR="001D3969" w:rsidRPr="00A11942" w14:paraId="2E9624F8" w14:textId="77777777" w:rsidTr="00921FE3">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E2E33"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Rs cr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CBF0F94"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Dues</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18C56B52"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Realisation</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68B2F85C"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 Realisation</w:t>
            </w:r>
          </w:p>
        </w:tc>
        <w:tc>
          <w:tcPr>
            <w:tcW w:w="1777" w:type="dxa"/>
            <w:tcBorders>
              <w:top w:val="single" w:sz="4" w:space="0" w:color="auto"/>
              <w:left w:val="nil"/>
              <w:bottom w:val="single" w:sz="4" w:space="0" w:color="auto"/>
              <w:right w:val="single" w:sz="4" w:space="0" w:color="auto"/>
            </w:tcBorders>
            <w:shd w:val="clear" w:color="auto" w:fill="auto"/>
            <w:noWrap/>
            <w:vAlign w:val="bottom"/>
            <w:hideMark/>
          </w:tcPr>
          <w:p w14:paraId="34EEDDE1"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Haircut</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14:paraId="4AC2CF43"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Resolved in</w:t>
            </w:r>
          </w:p>
        </w:tc>
      </w:tr>
      <w:tr w:rsidR="001D3969" w:rsidRPr="00A11942" w14:paraId="65AB9007"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114F996"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Electrosteel</w:t>
            </w:r>
          </w:p>
        </w:tc>
        <w:tc>
          <w:tcPr>
            <w:tcW w:w="1220" w:type="dxa"/>
            <w:tcBorders>
              <w:top w:val="nil"/>
              <w:left w:val="nil"/>
              <w:bottom w:val="single" w:sz="4" w:space="0" w:color="auto"/>
              <w:right w:val="single" w:sz="4" w:space="0" w:color="auto"/>
            </w:tcBorders>
            <w:shd w:val="clear" w:color="auto" w:fill="auto"/>
            <w:noWrap/>
            <w:vAlign w:val="bottom"/>
            <w:hideMark/>
          </w:tcPr>
          <w:p w14:paraId="2CB7D1E0"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13,175</w:t>
            </w:r>
          </w:p>
        </w:tc>
        <w:tc>
          <w:tcPr>
            <w:tcW w:w="1493" w:type="dxa"/>
            <w:tcBorders>
              <w:top w:val="nil"/>
              <w:left w:val="nil"/>
              <w:bottom w:val="single" w:sz="4" w:space="0" w:color="auto"/>
              <w:right w:val="single" w:sz="4" w:space="0" w:color="auto"/>
            </w:tcBorders>
            <w:shd w:val="clear" w:color="auto" w:fill="auto"/>
            <w:noWrap/>
            <w:vAlign w:val="bottom"/>
            <w:hideMark/>
          </w:tcPr>
          <w:p w14:paraId="22FB44CF"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5,320</w:t>
            </w:r>
          </w:p>
        </w:tc>
        <w:tc>
          <w:tcPr>
            <w:tcW w:w="1483" w:type="dxa"/>
            <w:tcBorders>
              <w:top w:val="nil"/>
              <w:left w:val="nil"/>
              <w:bottom w:val="single" w:sz="4" w:space="0" w:color="auto"/>
              <w:right w:val="single" w:sz="4" w:space="0" w:color="auto"/>
            </w:tcBorders>
            <w:shd w:val="clear" w:color="auto" w:fill="auto"/>
            <w:noWrap/>
            <w:vAlign w:val="bottom"/>
            <w:hideMark/>
          </w:tcPr>
          <w:p w14:paraId="1C8B8926"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40%</w:t>
            </w:r>
          </w:p>
        </w:tc>
        <w:tc>
          <w:tcPr>
            <w:tcW w:w="1777" w:type="dxa"/>
            <w:tcBorders>
              <w:top w:val="nil"/>
              <w:left w:val="nil"/>
              <w:bottom w:val="single" w:sz="4" w:space="0" w:color="auto"/>
              <w:right w:val="single" w:sz="4" w:space="0" w:color="auto"/>
            </w:tcBorders>
            <w:shd w:val="clear" w:color="auto" w:fill="auto"/>
            <w:noWrap/>
            <w:vAlign w:val="bottom"/>
            <w:hideMark/>
          </w:tcPr>
          <w:p w14:paraId="30194961"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60%</w:t>
            </w:r>
          </w:p>
        </w:tc>
        <w:tc>
          <w:tcPr>
            <w:tcW w:w="1611" w:type="dxa"/>
            <w:tcBorders>
              <w:top w:val="nil"/>
              <w:left w:val="nil"/>
              <w:bottom w:val="single" w:sz="4" w:space="0" w:color="auto"/>
              <w:right w:val="single" w:sz="4" w:space="0" w:color="auto"/>
            </w:tcBorders>
            <w:shd w:val="clear" w:color="auto" w:fill="auto"/>
            <w:noWrap/>
            <w:vAlign w:val="bottom"/>
            <w:hideMark/>
          </w:tcPr>
          <w:p w14:paraId="5520C828"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Apr-Jun18</w:t>
            </w:r>
          </w:p>
        </w:tc>
      </w:tr>
      <w:tr w:rsidR="001D3969" w:rsidRPr="00A11942" w14:paraId="406F6174"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1C15329"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Bhushan</w:t>
            </w:r>
          </w:p>
        </w:tc>
        <w:tc>
          <w:tcPr>
            <w:tcW w:w="1220" w:type="dxa"/>
            <w:tcBorders>
              <w:top w:val="nil"/>
              <w:left w:val="nil"/>
              <w:bottom w:val="single" w:sz="4" w:space="0" w:color="auto"/>
              <w:right w:val="single" w:sz="4" w:space="0" w:color="auto"/>
            </w:tcBorders>
            <w:shd w:val="clear" w:color="auto" w:fill="auto"/>
            <w:noWrap/>
            <w:vAlign w:val="bottom"/>
            <w:hideMark/>
          </w:tcPr>
          <w:p w14:paraId="709FED9C"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56,022</w:t>
            </w:r>
          </w:p>
        </w:tc>
        <w:tc>
          <w:tcPr>
            <w:tcW w:w="1493" w:type="dxa"/>
            <w:tcBorders>
              <w:top w:val="nil"/>
              <w:left w:val="nil"/>
              <w:bottom w:val="single" w:sz="4" w:space="0" w:color="auto"/>
              <w:right w:val="single" w:sz="4" w:space="0" w:color="auto"/>
            </w:tcBorders>
            <w:shd w:val="clear" w:color="auto" w:fill="auto"/>
            <w:noWrap/>
            <w:vAlign w:val="bottom"/>
            <w:hideMark/>
          </w:tcPr>
          <w:p w14:paraId="426B6FD6"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35,571</w:t>
            </w:r>
          </w:p>
        </w:tc>
        <w:tc>
          <w:tcPr>
            <w:tcW w:w="1483" w:type="dxa"/>
            <w:tcBorders>
              <w:top w:val="nil"/>
              <w:left w:val="nil"/>
              <w:bottom w:val="single" w:sz="4" w:space="0" w:color="auto"/>
              <w:right w:val="single" w:sz="4" w:space="0" w:color="auto"/>
            </w:tcBorders>
            <w:shd w:val="clear" w:color="auto" w:fill="auto"/>
            <w:noWrap/>
            <w:vAlign w:val="bottom"/>
            <w:hideMark/>
          </w:tcPr>
          <w:p w14:paraId="2EAE4062"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63%</w:t>
            </w:r>
          </w:p>
        </w:tc>
        <w:tc>
          <w:tcPr>
            <w:tcW w:w="1777" w:type="dxa"/>
            <w:tcBorders>
              <w:top w:val="nil"/>
              <w:left w:val="nil"/>
              <w:bottom w:val="single" w:sz="4" w:space="0" w:color="auto"/>
              <w:right w:val="single" w:sz="4" w:space="0" w:color="auto"/>
            </w:tcBorders>
            <w:shd w:val="clear" w:color="auto" w:fill="auto"/>
            <w:noWrap/>
            <w:vAlign w:val="bottom"/>
            <w:hideMark/>
          </w:tcPr>
          <w:p w14:paraId="6DE8A8B2"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37%</w:t>
            </w:r>
          </w:p>
        </w:tc>
        <w:tc>
          <w:tcPr>
            <w:tcW w:w="1611" w:type="dxa"/>
            <w:tcBorders>
              <w:top w:val="nil"/>
              <w:left w:val="nil"/>
              <w:bottom w:val="single" w:sz="4" w:space="0" w:color="auto"/>
              <w:right w:val="single" w:sz="4" w:space="0" w:color="auto"/>
            </w:tcBorders>
            <w:shd w:val="clear" w:color="auto" w:fill="auto"/>
            <w:noWrap/>
            <w:vAlign w:val="bottom"/>
            <w:hideMark/>
          </w:tcPr>
          <w:p w14:paraId="119C9E3E"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Apr-Jun18</w:t>
            </w:r>
          </w:p>
        </w:tc>
      </w:tr>
      <w:tr w:rsidR="001D3969" w:rsidRPr="00A11942" w14:paraId="0ADA6A06"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BFA6A13"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Monnet</w:t>
            </w:r>
          </w:p>
        </w:tc>
        <w:tc>
          <w:tcPr>
            <w:tcW w:w="1220" w:type="dxa"/>
            <w:tcBorders>
              <w:top w:val="nil"/>
              <w:left w:val="nil"/>
              <w:bottom w:val="single" w:sz="4" w:space="0" w:color="auto"/>
              <w:right w:val="single" w:sz="4" w:space="0" w:color="auto"/>
            </w:tcBorders>
            <w:shd w:val="clear" w:color="auto" w:fill="auto"/>
            <w:noWrap/>
            <w:vAlign w:val="bottom"/>
            <w:hideMark/>
          </w:tcPr>
          <w:p w14:paraId="20C40098"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11,015</w:t>
            </w:r>
          </w:p>
        </w:tc>
        <w:tc>
          <w:tcPr>
            <w:tcW w:w="1493" w:type="dxa"/>
            <w:tcBorders>
              <w:top w:val="nil"/>
              <w:left w:val="nil"/>
              <w:bottom w:val="single" w:sz="4" w:space="0" w:color="auto"/>
              <w:right w:val="single" w:sz="4" w:space="0" w:color="auto"/>
            </w:tcBorders>
            <w:shd w:val="clear" w:color="auto" w:fill="auto"/>
            <w:noWrap/>
            <w:vAlign w:val="bottom"/>
            <w:hideMark/>
          </w:tcPr>
          <w:p w14:paraId="1A5788B5"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2,892</w:t>
            </w:r>
          </w:p>
        </w:tc>
        <w:tc>
          <w:tcPr>
            <w:tcW w:w="1483" w:type="dxa"/>
            <w:tcBorders>
              <w:top w:val="nil"/>
              <w:left w:val="nil"/>
              <w:bottom w:val="single" w:sz="4" w:space="0" w:color="auto"/>
              <w:right w:val="single" w:sz="4" w:space="0" w:color="auto"/>
            </w:tcBorders>
            <w:shd w:val="clear" w:color="auto" w:fill="auto"/>
            <w:noWrap/>
            <w:vAlign w:val="bottom"/>
            <w:hideMark/>
          </w:tcPr>
          <w:p w14:paraId="2B245827"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26%</w:t>
            </w:r>
          </w:p>
        </w:tc>
        <w:tc>
          <w:tcPr>
            <w:tcW w:w="1777" w:type="dxa"/>
            <w:tcBorders>
              <w:top w:val="nil"/>
              <w:left w:val="nil"/>
              <w:bottom w:val="single" w:sz="4" w:space="0" w:color="auto"/>
              <w:right w:val="single" w:sz="4" w:space="0" w:color="auto"/>
            </w:tcBorders>
            <w:shd w:val="clear" w:color="auto" w:fill="auto"/>
            <w:noWrap/>
            <w:vAlign w:val="bottom"/>
            <w:hideMark/>
          </w:tcPr>
          <w:p w14:paraId="2C56A630"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74%</w:t>
            </w:r>
          </w:p>
        </w:tc>
        <w:tc>
          <w:tcPr>
            <w:tcW w:w="1611" w:type="dxa"/>
            <w:tcBorders>
              <w:top w:val="nil"/>
              <w:left w:val="nil"/>
              <w:bottom w:val="single" w:sz="4" w:space="0" w:color="auto"/>
              <w:right w:val="single" w:sz="4" w:space="0" w:color="auto"/>
            </w:tcBorders>
            <w:shd w:val="clear" w:color="auto" w:fill="auto"/>
            <w:noWrap/>
            <w:vAlign w:val="bottom"/>
            <w:hideMark/>
          </w:tcPr>
          <w:p w14:paraId="133246FF"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Jul-Sep18</w:t>
            </w:r>
          </w:p>
        </w:tc>
      </w:tr>
      <w:tr w:rsidR="001D3969" w:rsidRPr="00A11942" w14:paraId="662CCB68"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822234C"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Amtek</w:t>
            </w:r>
          </w:p>
        </w:tc>
        <w:tc>
          <w:tcPr>
            <w:tcW w:w="1220" w:type="dxa"/>
            <w:tcBorders>
              <w:top w:val="nil"/>
              <w:left w:val="nil"/>
              <w:bottom w:val="single" w:sz="4" w:space="0" w:color="auto"/>
              <w:right w:val="single" w:sz="4" w:space="0" w:color="auto"/>
            </w:tcBorders>
            <w:shd w:val="clear" w:color="auto" w:fill="auto"/>
            <w:noWrap/>
            <w:vAlign w:val="bottom"/>
            <w:hideMark/>
          </w:tcPr>
          <w:p w14:paraId="50B10083"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12,605</w:t>
            </w:r>
          </w:p>
        </w:tc>
        <w:tc>
          <w:tcPr>
            <w:tcW w:w="1493" w:type="dxa"/>
            <w:tcBorders>
              <w:top w:val="nil"/>
              <w:left w:val="nil"/>
              <w:bottom w:val="single" w:sz="4" w:space="0" w:color="auto"/>
              <w:right w:val="single" w:sz="4" w:space="0" w:color="auto"/>
            </w:tcBorders>
            <w:shd w:val="clear" w:color="auto" w:fill="auto"/>
            <w:noWrap/>
            <w:vAlign w:val="bottom"/>
            <w:hideMark/>
          </w:tcPr>
          <w:p w14:paraId="316D7CA1"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4,334</w:t>
            </w:r>
          </w:p>
        </w:tc>
        <w:tc>
          <w:tcPr>
            <w:tcW w:w="1483" w:type="dxa"/>
            <w:tcBorders>
              <w:top w:val="nil"/>
              <w:left w:val="nil"/>
              <w:bottom w:val="single" w:sz="4" w:space="0" w:color="auto"/>
              <w:right w:val="single" w:sz="4" w:space="0" w:color="auto"/>
            </w:tcBorders>
            <w:shd w:val="clear" w:color="auto" w:fill="auto"/>
            <w:noWrap/>
            <w:vAlign w:val="bottom"/>
            <w:hideMark/>
          </w:tcPr>
          <w:p w14:paraId="5052FA90"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34%</w:t>
            </w:r>
          </w:p>
        </w:tc>
        <w:tc>
          <w:tcPr>
            <w:tcW w:w="1777" w:type="dxa"/>
            <w:tcBorders>
              <w:top w:val="nil"/>
              <w:left w:val="nil"/>
              <w:bottom w:val="single" w:sz="4" w:space="0" w:color="auto"/>
              <w:right w:val="single" w:sz="4" w:space="0" w:color="auto"/>
            </w:tcBorders>
            <w:shd w:val="clear" w:color="auto" w:fill="auto"/>
            <w:noWrap/>
            <w:vAlign w:val="bottom"/>
            <w:hideMark/>
          </w:tcPr>
          <w:p w14:paraId="1A634A7F"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66%</w:t>
            </w:r>
          </w:p>
        </w:tc>
        <w:tc>
          <w:tcPr>
            <w:tcW w:w="1611" w:type="dxa"/>
            <w:tcBorders>
              <w:top w:val="nil"/>
              <w:left w:val="nil"/>
              <w:bottom w:val="single" w:sz="4" w:space="0" w:color="auto"/>
              <w:right w:val="single" w:sz="4" w:space="0" w:color="auto"/>
            </w:tcBorders>
            <w:shd w:val="clear" w:color="auto" w:fill="auto"/>
            <w:noWrap/>
            <w:vAlign w:val="bottom"/>
            <w:hideMark/>
          </w:tcPr>
          <w:p w14:paraId="6E2D97FE"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Jul-Sep18</w:t>
            </w:r>
          </w:p>
        </w:tc>
      </w:tr>
      <w:tr w:rsidR="001D3969" w:rsidRPr="00A11942" w14:paraId="5F7619C2"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84306B"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Total</w:t>
            </w:r>
          </w:p>
        </w:tc>
        <w:tc>
          <w:tcPr>
            <w:tcW w:w="1220" w:type="dxa"/>
            <w:tcBorders>
              <w:top w:val="nil"/>
              <w:left w:val="nil"/>
              <w:bottom w:val="single" w:sz="4" w:space="0" w:color="auto"/>
              <w:right w:val="single" w:sz="4" w:space="0" w:color="auto"/>
            </w:tcBorders>
            <w:shd w:val="clear" w:color="auto" w:fill="auto"/>
            <w:noWrap/>
            <w:vAlign w:val="bottom"/>
            <w:hideMark/>
          </w:tcPr>
          <w:p w14:paraId="6D425854"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92,817</w:t>
            </w:r>
          </w:p>
        </w:tc>
        <w:tc>
          <w:tcPr>
            <w:tcW w:w="1493" w:type="dxa"/>
            <w:tcBorders>
              <w:top w:val="nil"/>
              <w:left w:val="nil"/>
              <w:bottom w:val="single" w:sz="4" w:space="0" w:color="auto"/>
              <w:right w:val="single" w:sz="4" w:space="0" w:color="auto"/>
            </w:tcBorders>
            <w:shd w:val="clear" w:color="auto" w:fill="auto"/>
            <w:noWrap/>
            <w:vAlign w:val="bottom"/>
            <w:hideMark/>
          </w:tcPr>
          <w:p w14:paraId="25437817"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48,117</w:t>
            </w:r>
          </w:p>
        </w:tc>
        <w:tc>
          <w:tcPr>
            <w:tcW w:w="1483" w:type="dxa"/>
            <w:tcBorders>
              <w:top w:val="nil"/>
              <w:left w:val="nil"/>
              <w:bottom w:val="single" w:sz="4" w:space="0" w:color="auto"/>
              <w:right w:val="single" w:sz="4" w:space="0" w:color="auto"/>
            </w:tcBorders>
            <w:shd w:val="clear" w:color="auto" w:fill="auto"/>
            <w:noWrap/>
            <w:vAlign w:val="bottom"/>
            <w:hideMark/>
          </w:tcPr>
          <w:p w14:paraId="2862E1A6"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52%</w:t>
            </w:r>
          </w:p>
        </w:tc>
        <w:tc>
          <w:tcPr>
            <w:tcW w:w="1777" w:type="dxa"/>
            <w:tcBorders>
              <w:top w:val="nil"/>
              <w:left w:val="nil"/>
              <w:bottom w:val="single" w:sz="4" w:space="0" w:color="auto"/>
              <w:right w:val="single" w:sz="4" w:space="0" w:color="auto"/>
            </w:tcBorders>
            <w:shd w:val="clear" w:color="auto" w:fill="auto"/>
            <w:noWrap/>
            <w:vAlign w:val="bottom"/>
            <w:hideMark/>
          </w:tcPr>
          <w:p w14:paraId="7477683B"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48%</w:t>
            </w:r>
          </w:p>
        </w:tc>
        <w:tc>
          <w:tcPr>
            <w:tcW w:w="1611" w:type="dxa"/>
            <w:tcBorders>
              <w:top w:val="nil"/>
              <w:left w:val="nil"/>
              <w:bottom w:val="single" w:sz="4" w:space="0" w:color="auto"/>
              <w:right w:val="single" w:sz="4" w:space="0" w:color="auto"/>
            </w:tcBorders>
            <w:shd w:val="clear" w:color="auto" w:fill="auto"/>
            <w:noWrap/>
            <w:vAlign w:val="bottom"/>
            <w:hideMark/>
          </w:tcPr>
          <w:p w14:paraId="23E691DA" w14:textId="77777777" w:rsidR="001D3969" w:rsidRPr="00A11942" w:rsidRDefault="001D3969" w:rsidP="00DB0EB3">
            <w:pPr>
              <w:spacing w:after="0" w:line="240" w:lineRule="auto"/>
              <w:jc w:val="center"/>
              <w:rPr>
                <w:rFonts w:ascii="Calibri" w:eastAsia="Times New Roman" w:hAnsi="Calibri" w:cs="Calibri"/>
                <w:color w:val="000000"/>
                <w:lang w:eastAsia="en-GB"/>
              </w:rPr>
            </w:pPr>
          </w:p>
        </w:tc>
      </w:tr>
      <w:tr w:rsidR="001D3969" w:rsidRPr="00A11942" w14:paraId="1DBC3410"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0C6FED8" w14:textId="77777777" w:rsidR="001D3969" w:rsidRPr="00A11942" w:rsidRDefault="001D3969" w:rsidP="00DB0EB3">
            <w:pPr>
              <w:spacing w:after="0" w:line="240" w:lineRule="auto"/>
              <w:rPr>
                <w:rFonts w:ascii="Calibri" w:eastAsia="Times New Roman" w:hAnsi="Calibri" w:cs="Calibri"/>
                <w:color w:val="000000"/>
                <w:lang w:eastAsia="en-GB"/>
              </w:rPr>
            </w:pPr>
            <w:r w:rsidRPr="00A11942">
              <w:rPr>
                <w:rFonts w:ascii="Calibri" w:eastAsia="Times New Roman" w:hAnsi="Calibri" w:cs="Calibri"/>
                <w:color w:val="000000"/>
                <w:lang w:eastAsia="en-GB"/>
              </w:rPr>
              <w:t>Total due from 12</w:t>
            </w:r>
          </w:p>
        </w:tc>
        <w:tc>
          <w:tcPr>
            <w:tcW w:w="1220" w:type="dxa"/>
            <w:tcBorders>
              <w:top w:val="nil"/>
              <w:left w:val="nil"/>
              <w:bottom w:val="single" w:sz="4" w:space="0" w:color="auto"/>
              <w:right w:val="single" w:sz="4" w:space="0" w:color="auto"/>
            </w:tcBorders>
            <w:shd w:val="clear" w:color="auto" w:fill="auto"/>
            <w:noWrap/>
            <w:vAlign w:val="bottom"/>
            <w:hideMark/>
          </w:tcPr>
          <w:p w14:paraId="7D2B765D"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345,000</w:t>
            </w:r>
          </w:p>
        </w:tc>
        <w:tc>
          <w:tcPr>
            <w:tcW w:w="1493" w:type="dxa"/>
            <w:tcBorders>
              <w:top w:val="nil"/>
              <w:left w:val="nil"/>
              <w:bottom w:val="single" w:sz="4" w:space="0" w:color="auto"/>
              <w:right w:val="single" w:sz="4" w:space="0" w:color="auto"/>
            </w:tcBorders>
            <w:shd w:val="clear" w:color="auto" w:fill="auto"/>
            <w:noWrap/>
            <w:vAlign w:val="bottom"/>
            <w:hideMark/>
          </w:tcPr>
          <w:p w14:paraId="0768BC15" w14:textId="77777777" w:rsidR="001D3969" w:rsidRPr="00A11942" w:rsidRDefault="001D3969" w:rsidP="00DB0EB3">
            <w:pPr>
              <w:spacing w:after="0" w:line="240" w:lineRule="auto"/>
              <w:jc w:val="center"/>
              <w:rPr>
                <w:rFonts w:ascii="Calibri" w:eastAsia="Times New Roman" w:hAnsi="Calibri" w:cs="Calibri"/>
                <w:color w:val="000000"/>
                <w:lang w:eastAsia="en-GB"/>
              </w:rPr>
            </w:pPr>
          </w:p>
        </w:tc>
        <w:tc>
          <w:tcPr>
            <w:tcW w:w="1483" w:type="dxa"/>
            <w:tcBorders>
              <w:top w:val="nil"/>
              <w:left w:val="nil"/>
              <w:bottom w:val="single" w:sz="4" w:space="0" w:color="auto"/>
              <w:right w:val="single" w:sz="4" w:space="0" w:color="auto"/>
            </w:tcBorders>
            <w:shd w:val="clear" w:color="auto" w:fill="auto"/>
            <w:noWrap/>
            <w:vAlign w:val="bottom"/>
            <w:hideMark/>
          </w:tcPr>
          <w:p w14:paraId="5804337D" w14:textId="77777777" w:rsidR="001D3969" w:rsidRPr="00A11942" w:rsidRDefault="001D3969" w:rsidP="00DB0EB3">
            <w:pPr>
              <w:spacing w:after="0" w:line="240" w:lineRule="auto"/>
              <w:jc w:val="center"/>
              <w:rPr>
                <w:rFonts w:ascii="Calibri" w:eastAsia="Times New Roman" w:hAnsi="Calibri" w:cs="Calibri"/>
                <w:color w:val="000000"/>
                <w:lang w:eastAsia="en-GB"/>
              </w:rPr>
            </w:pPr>
            <w:r w:rsidRPr="00A11942">
              <w:rPr>
                <w:rFonts w:ascii="Calibri" w:eastAsia="Times New Roman" w:hAnsi="Calibri" w:cs="Calibri"/>
                <w:color w:val="000000"/>
                <w:lang w:eastAsia="en-GB"/>
              </w:rPr>
              <w:t>14%</w:t>
            </w:r>
          </w:p>
        </w:tc>
        <w:tc>
          <w:tcPr>
            <w:tcW w:w="1777" w:type="dxa"/>
            <w:tcBorders>
              <w:top w:val="nil"/>
              <w:left w:val="nil"/>
              <w:bottom w:val="single" w:sz="4" w:space="0" w:color="auto"/>
              <w:right w:val="single" w:sz="4" w:space="0" w:color="auto"/>
            </w:tcBorders>
            <w:shd w:val="clear" w:color="auto" w:fill="auto"/>
            <w:noWrap/>
            <w:vAlign w:val="bottom"/>
            <w:hideMark/>
          </w:tcPr>
          <w:p w14:paraId="343835A7" w14:textId="77777777" w:rsidR="001D3969" w:rsidRPr="00A11942" w:rsidRDefault="001D3969" w:rsidP="00DB0EB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r w:rsidRPr="00A11942">
              <w:rPr>
                <w:rFonts w:ascii="Calibri" w:eastAsia="Times New Roman" w:hAnsi="Calibri" w:cs="Calibri"/>
                <w:color w:val="000000"/>
                <w:lang w:eastAsia="en-GB"/>
              </w:rPr>
              <w:t>recovery so far</w:t>
            </w:r>
            <w:r>
              <w:rPr>
                <w:rFonts w:ascii="Calibri" w:eastAsia="Times New Roman" w:hAnsi="Calibri" w:cs="Calibri"/>
                <w:color w:val="000000"/>
                <w:lang w:eastAsia="en-GB"/>
              </w:rPr>
              <w:t>)</w:t>
            </w:r>
          </w:p>
        </w:tc>
        <w:tc>
          <w:tcPr>
            <w:tcW w:w="1611" w:type="dxa"/>
            <w:tcBorders>
              <w:top w:val="nil"/>
              <w:left w:val="nil"/>
              <w:bottom w:val="single" w:sz="4" w:space="0" w:color="auto"/>
              <w:right w:val="single" w:sz="4" w:space="0" w:color="auto"/>
            </w:tcBorders>
            <w:shd w:val="clear" w:color="auto" w:fill="auto"/>
            <w:noWrap/>
            <w:vAlign w:val="bottom"/>
            <w:hideMark/>
          </w:tcPr>
          <w:p w14:paraId="6B6F0914" w14:textId="77777777" w:rsidR="001D3969" w:rsidRPr="00A11942" w:rsidRDefault="001D3969" w:rsidP="00DB0EB3">
            <w:pPr>
              <w:spacing w:after="0" w:line="240" w:lineRule="auto"/>
              <w:jc w:val="center"/>
              <w:rPr>
                <w:rFonts w:ascii="Calibri" w:eastAsia="Times New Roman" w:hAnsi="Calibri" w:cs="Calibri"/>
                <w:color w:val="000000"/>
                <w:lang w:eastAsia="en-GB"/>
              </w:rPr>
            </w:pPr>
          </w:p>
        </w:tc>
      </w:tr>
    </w:tbl>
    <w:p w14:paraId="5825FD96" w14:textId="77777777" w:rsidR="001D3969" w:rsidRDefault="001D3969" w:rsidP="00921FE3">
      <w:pPr>
        <w:rPr>
          <w:i/>
          <w:sz w:val="16"/>
        </w:rPr>
      </w:pPr>
      <w:r w:rsidRPr="00A11942">
        <w:rPr>
          <w:i/>
          <w:sz w:val="16"/>
        </w:rPr>
        <w:t xml:space="preserve">(source: </w:t>
      </w:r>
      <w:r>
        <w:rPr>
          <w:i/>
          <w:sz w:val="16"/>
        </w:rPr>
        <w:t xml:space="preserve">compiled from </w:t>
      </w:r>
      <w:r w:rsidRPr="00A11942">
        <w:rPr>
          <w:i/>
          <w:sz w:val="16"/>
        </w:rPr>
        <w:t>IBBI</w:t>
      </w:r>
      <w:r>
        <w:rPr>
          <w:i/>
          <w:sz w:val="16"/>
        </w:rPr>
        <w:t xml:space="preserve"> Quarterly Newsletter</w:t>
      </w:r>
      <w:r w:rsidRPr="00A11942">
        <w:rPr>
          <w:i/>
          <w:sz w:val="16"/>
        </w:rPr>
        <w:t>)</w:t>
      </w:r>
    </w:p>
    <w:p w14:paraId="447E510A" w14:textId="46B7F383" w:rsidR="001D3969" w:rsidRPr="00921FE3" w:rsidRDefault="006A1E3B" w:rsidP="00921FE3">
      <w:r>
        <w:lastRenderedPageBreak/>
        <w:t>Upo</w:t>
      </w:r>
      <w:r w:rsidR="00EE7FBA" w:rsidRPr="00C07358">
        <w:t>n</w:t>
      </w:r>
      <w:r w:rsidR="00EE7FBA">
        <w:t xml:space="preserve"> further research </w:t>
      </w:r>
      <w:r>
        <w:t>on the topic, we see that for a group of other large exposures (for our purposes defined as higher than Rs. 1000 crores) recovery of dues has been to the extent of ~30%.</w:t>
      </w:r>
    </w:p>
    <w:tbl>
      <w:tblPr>
        <w:tblW w:w="9493" w:type="dxa"/>
        <w:tblInd w:w="-5" w:type="dxa"/>
        <w:tblLook w:val="04A0" w:firstRow="1" w:lastRow="0" w:firstColumn="1" w:lastColumn="0" w:noHBand="0" w:noVBand="1"/>
      </w:tblPr>
      <w:tblGrid>
        <w:gridCol w:w="1960"/>
        <w:gridCol w:w="1220"/>
        <w:gridCol w:w="1493"/>
        <w:gridCol w:w="1559"/>
        <w:gridCol w:w="1701"/>
        <w:gridCol w:w="1560"/>
      </w:tblGrid>
      <w:tr w:rsidR="001D3969" w:rsidRPr="004B5253" w14:paraId="51D5F706" w14:textId="77777777" w:rsidTr="00921FE3">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7B58A"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Other large a/cs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5FC3EDC"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Dues</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14:paraId="39043B97"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Realisation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26ED623"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 Realisation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119E518"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Haircut</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9767E3E"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Resolved in</w:t>
            </w:r>
          </w:p>
        </w:tc>
      </w:tr>
      <w:tr w:rsidR="001D3969" w:rsidRPr="004B5253" w14:paraId="37F49251"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728D9B"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Zion Steel</w:t>
            </w:r>
          </w:p>
        </w:tc>
        <w:tc>
          <w:tcPr>
            <w:tcW w:w="1220" w:type="dxa"/>
            <w:tcBorders>
              <w:top w:val="nil"/>
              <w:left w:val="nil"/>
              <w:bottom w:val="single" w:sz="4" w:space="0" w:color="auto"/>
              <w:right w:val="single" w:sz="4" w:space="0" w:color="auto"/>
            </w:tcBorders>
            <w:shd w:val="clear" w:color="auto" w:fill="auto"/>
            <w:noWrap/>
            <w:vAlign w:val="bottom"/>
            <w:hideMark/>
          </w:tcPr>
          <w:p w14:paraId="7DAF2069"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5,367</w:t>
            </w:r>
          </w:p>
        </w:tc>
        <w:tc>
          <w:tcPr>
            <w:tcW w:w="1493" w:type="dxa"/>
            <w:tcBorders>
              <w:top w:val="nil"/>
              <w:left w:val="nil"/>
              <w:bottom w:val="single" w:sz="4" w:space="0" w:color="auto"/>
              <w:right w:val="single" w:sz="4" w:space="0" w:color="auto"/>
            </w:tcBorders>
            <w:shd w:val="clear" w:color="auto" w:fill="auto"/>
            <w:noWrap/>
            <w:vAlign w:val="bottom"/>
            <w:hideMark/>
          </w:tcPr>
          <w:p w14:paraId="427B69AF"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15</w:t>
            </w:r>
          </w:p>
        </w:tc>
        <w:tc>
          <w:tcPr>
            <w:tcW w:w="1559" w:type="dxa"/>
            <w:tcBorders>
              <w:top w:val="nil"/>
              <w:left w:val="nil"/>
              <w:bottom w:val="single" w:sz="4" w:space="0" w:color="auto"/>
              <w:right w:val="single" w:sz="4" w:space="0" w:color="auto"/>
            </w:tcBorders>
            <w:shd w:val="clear" w:color="auto" w:fill="auto"/>
            <w:noWrap/>
            <w:vAlign w:val="bottom"/>
            <w:hideMark/>
          </w:tcPr>
          <w:p w14:paraId="13923D10"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0.3%</w:t>
            </w:r>
          </w:p>
        </w:tc>
        <w:tc>
          <w:tcPr>
            <w:tcW w:w="1701" w:type="dxa"/>
            <w:tcBorders>
              <w:top w:val="nil"/>
              <w:left w:val="nil"/>
              <w:bottom w:val="single" w:sz="4" w:space="0" w:color="auto"/>
              <w:right w:val="single" w:sz="4" w:space="0" w:color="auto"/>
            </w:tcBorders>
            <w:shd w:val="clear" w:color="auto" w:fill="auto"/>
            <w:noWrap/>
            <w:vAlign w:val="bottom"/>
            <w:hideMark/>
          </w:tcPr>
          <w:p w14:paraId="6C3D4429"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99.7%</w:t>
            </w:r>
          </w:p>
        </w:tc>
        <w:tc>
          <w:tcPr>
            <w:tcW w:w="1560" w:type="dxa"/>
            <w:tcBorders>
              <w:top w:val="nil"/>
              <w:left w:val="nil"/>
              <w:bottom w:val="single" w:sz="4" w:space="0" w:color="auto"/>
              <w:right w:val="single" w:sz="4" w:space="0" w:color="auto"/>
            </w:tcBorders>
            <w:shd w:val="clear" w:color="auto" w:fill="auto"/>
            <w:noWrap/>
            <w:vAlign w:val="bottom"/>
            <w:hideMark/>
          </w:tcPr>
          <w:p w14:paraId="056CBF53"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Jul-Sep18</w:t>
            </w:r>
          </w:p>
        </w:tc>
      </w:tr>
      <w:tr w:rsidR="001D3969" w:rsidRPr="004B5253" w14:paraId="2BE19161"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9E0BFC"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Adhunik Metals</w:t>
            </w:r>
          </w:p>
        </w:tc>
        <w:tc>
          <w:tcPr>
            <w:tcW w:w="1220" w:type="dxa"/>
            <w:tcBorders>
              <w:top w:val="nil"/>
              <w:left w:val="nil"/>
              <w:bottom w:val="single" w:sz="4" w:space="0" w:color="auto"/>
              <w:right w:val="single" w:sz="4" w:space="0" w:color="auto"/>
            </w:tcBorders>
            <w:shd w:val="clear" w:color="auto" w:fill="auto"/>
            <w:noWrap/>
            <w:vAlign w:val="bottom"/>
            <w:hideMark/>
          </w:tcPr>
          <w:p w14:paraId="163EA53B"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5,371</w:t>
            </w:r>
          </w:p>
        </w:tc>
        <w:tc>
          <w:tcPr>
            <w:tcW w:w="1493" w:type="dxa"/>
            <w:tcBorders>
              <w:top w:val="nil"/>
              <w:left w:val="nil"/>
              <w:bottom w:val="single" w:sz="4" w:space="0" w:color="auto"/>
              <w:right w:val="single" w:sz="4" w:space="0" w:color="auto"/>
            </w:tcBorders>
            <w:shd w:val="clear" w:color="auto" w:fill="auto"/>
            <w:noWrap/>
            <w:vAlign w:val="bottom"/>
            <w:hideMark/>
          </w:tcPr>
          <w:p w14:paraId="7C55845F"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410</w:t>
            </w:r>
          </w:p>
        </w:tc>
        <w:tc>
          <w:tcPr>
            <w:tcW w:w="1559" w:type="dxa"/>
            <w:tcBorders>
              <w:top w:val="nil"/>
              <w:left w:val="nil"/>
              <w:bottom w:val="single" w:sz="4" w:space="0" w:color="auto"/>
              <w:right w:val="single" w:sz="4" w:space="0" w:color="auto"/>
            </w:tcBorders>
            <w:shd w:val="clear" w:color="auto" w:fill="auto"/>
            <w:noWrap/>
            <w:vAlign w:val="bottom"/>
            <w:hideMark/>
          </w:tcPr>
          <w:p w14:paraId="77C43CB3"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14:paraId="3E599989"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92%</w:t>
            </w:r>
          </w:p>
        </w:tc>
        <w:tc>
          <w:tcPr>
            <w:tcW w:w="1560" w:type="dxa"/>
            <w:tcBorders>
              <w:top w:val="nil"/>
              <w:left w:val="nil"/>
              <w:bottom w:val="single" w:sz="4" w:space="0" w:color="auto"/>
              <w:right w:val="single" w:sz="4" w:space="0" w:color="auto"/>
            </w:tcBorders>
            <w:shd w:val="clear" w:color="auto" w:fill="auto"/>
            <w:noWrap/>
            <w:vAlign w:val="bottom"/>
            <w:hideMark/>
          </w:tcPr>
          <w:p w14:paraId="0E63F603"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Jul-Sep18</w:t>
            </w:r>
          </w:p>
        </w:tc>
      </w:tr>
      <w:tr w:rsidR="001D3969" w:rsidRPr="004B5253" w14:paraId="30514E27"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7930A3D"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MBL Infra</w:t>
            </w:r>
          </w:p>
        </w:tc>
        <w:tc>
          <w:tcPr>
            <w:tcW w:w="1220" w:type="dxa"/>
            <w:tcBorders>
              <w:top w:val="nil"/>
              <w:left w:val="nil"/>
              <w:bottom w:val="single" w:sz="4" w:space="0" w:color="auto"/>
              <w:right w:val="single" w:sz="4" w:space="0" w:color="auto"/>
            </w:tcBorders>
            <w:shd w:val="clear" w:color="auto" w:fill="auto"/>
            <w:noWrap/>
            <w:vAlign w:val="bottom"/>
            <w:hideMark/>
          </w:tcPr>
          <w:p w14:paraId="2EFC6B07"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1,428</w:t>
            </w:r>
          </w:p>
        </w:tc>
        <w:tc>
          <w:tcPr>
            <w:tcW w:w="1493" w:type="dxa"/>
            <w:tcBorders>
              <w:top w:val="nil"/>
              <w:left w:val="nil"/>
              <w:bottom w:val="single" w:sz="4" w:space="0" w:color="auto"/>
              <w:right w:val="single" w:sz="4" w:space="0" w:color="auto"/>
            </w:tcBorders>
            <w:shd w:val="clear" w:color="auto" w:fill="auto"/>
            <w:noWrap/>
            <w:vAlign w:val="bottom"/>
            <w:hideMark/>
          </w:tcPr>
          <w:p w14:paraId="24A2AD1B"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1,597</w:t>
            </w:r>
          </w:p>
        </w:tc>
        <w:tc>
          <w:tcPr>
            <w:tcW w:w="1559" w:type="dxa"/>
            <w:tcBorders>
              <w:top w:val="nil"/>
              <w:left w:val="nil"/>
              <w:bottom w:val="single" w:sz="4" w:space="0" w:color="auto"/>
              <w:right w:val="single" w:sz="4" w:space="0" w:color="auto"/>
            </w:tcBorders>
            <w:shd w:val="clear" w:color="auto" w:fill="auto"/>
            <w:noWrap/>
            <w:vAlign w:val="bottom"/>
            <w:hideMark/>
          </w:tcPr>
          <w:p w14:paraId="0FD7BC2E"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112%</w:t>
            </w:r>
          </w:p>
        </w:tc>
        <w:tc>
          <w:tcPr>
            <w:tcW w:w="1701" w:type="dxa"/>
            <w:tcBorders>
              <w:top w:val="nil"/>
              <w:left w:val="nil"/>
              <w:bottom w:val="single" w:sz="4" w:space="0" w:color="auto"/>
              <w:right w:val="single" w:sz="4" w:space="0" w:color="auto"/>
            </w:tcBorders>
            <w:shd w:val="clear" w:color="auto" w:fill="auto"/>
            <w:noWrap/>
            <w:vAlign w:val="bottom"/>
            <w:hideMark/>
          </w:tcPr>
          <w:p w14:paraId="625ADC3E"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NA</w:t>
            </w:r>
          </w:p>
        </w:tc>
        <w:tc>
          <w:tcPr>
            <w:tcW w:w="1560" w:type="dxa"/>
            <w:tcBorders>
              <w:top w:val="nil"/>
              <w:left w:val="nil"/>
              <w:bottom w:val="single" w:sz="4" w:space="0" w:color="auto"/>
              <w:right w:val="single" w:sz="4" w:space="0" w:color="auto"/>
            </w:tcBorders>
            <w:shd w:val="clear" w:color="auto" w:fill="auto"/>
            <w:noWrap/>
            <w:vAlign w:val="bottom"/>
            <w:hideMark/>
          </w:tcPr>
          <w:p w14:paraId="52C024D1"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Apr-Jun18</w:t>
            </w:r>
          </w:p>
        </w:tc>
      </w:tr>
      <w:tr w:rsidR="001D3969" w:rsidRPr="004B5253" w14:paraId="6352DF7B"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A2FFB0C"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Kohinoor CTNL Infra</w:t>
            </w:r>
          </w:p>
        </w:tc>
        <w:tc>
          <w:tcPr>
            <w:tcW w:w="1220" w:type="dxa"/>
            <w:tcBorders>
              <w:top w:val="nil"/>
              <w:left w:val="nil"/>
              <w:bottom w:val="single" w:sz="4" w:space="0" w:color="auto"/>
              <w:right w:val="single" w:sz="4" w:space="0" w:color="auto"/>
            </w:tcBorders>
            <w:shd w:val="clear" w:color="auto" w:fill="auto"/>
            <w:noWrap/>
            <w:vAlign w:val="bottom"/>
            <w:hideMark/>
          </w:tcPr>
          <w:p w14:paraId="5DBEBCC5"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2,528</w:t>
            </w:r>
          </w:p>
        </w:tc>
        <w:tc>
          <w:tcPr>
            <w:tcW w:w="1493" w:type="dxa"/>
            <w:tcBorders>
              <w:top w:val="nil"/>
              <w:left w:val="nil"/>
              <w:bottom w:val="single" w:sz="4" w:space="0" w:color="auto"/>
              <w:right w:val="single" w:sz="4" w:space="0" w:color="auto"/>
            </w:tcBorders>
            <w:shd w:val="clear" w:color="auto" w:fill="auto"/>
            <w:noWrap/>
            <w:vAlign w:val="bottom"/>
            <w:hideMark/>
          </w:tcPr>
          <w:p w14:paraId="795CC15B"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2,246</w:t>
            </w:r>
          </w:p>
        </w:tc>
        <w:tc>
          <w:tcPr>
            <w:tcW w:w="1559" w:type="dxa"/>
            <w:tcBorders>
              <w:top w:val="nil"/>
              <w:left w:val="nil"/>
              <w:bottom w:val="single" w:sz="4" w:space="0" w:color="auto"/>
              <w:right w:val="single" w:sz="4" w:space="0" w:color="auto"/>
            </w:tcBorders>
            <w:shd w:val="clear" w:color="auto" w:fill="auto"/>
            <w:noWrap/>
            <w:vAlign w:val="bottom"/>
            <w:hideMark/>
          </w:tcPr>
          <w:p w14:paraId="7672C08F"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89%</w:t>
            </w:r>
          </w:p>
        </w:tc>
        <w:tc>
          <w:tcPr>
            <w:tcW w:w="1701" w:type="dxa"/>
            <w:tcBorders>
              <w:top w:val="nil"/>
              <w:left w:val="nil"/>
              <w:bottom w:val="single" w:sz="4" w:space="0" w:color="auto"/>
              <w:right w:val="single" w:sz="4" w:space="0" w:color="auto"/>
            </w:tcBorders>
            <w:shd w:val="clear" w:color="auto" w:fill="auto"/>
            <w:noWrap/>
            <w:vAlign w:val="bottom"/>
            <w:hideMark/>
          </w:tcPr>
          <w:p w14:paraId="2B521B92"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11%</w:t>
            </w:r>
          </w:p>
        </w:tc>
        <w:tc>
          <w:tcPr>
            <w:tcW w:w="1560" w:type="dxa"/>
            <w:tcBorders>
              <w:top w:val="nil"/>
              <w:left w:val="nil"/>
              <w:bottom w:val="single" w:sz="4" w:space="0" w:color="auto"/>
              <w:right w:val="single" w:sz="4" w:space="0" w:color="auto"/>
            </w:tcBorders>
            <w:shd w:val="clear" w:color="auto" w:fill="auto"/>
            <w:noWrap/>
            <w:vAlign w:val="bottom"/>
            <w:hideMark/>
          </w:tcPr>
          <w:p w14:paraId="07F87FFE"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Jan-Mar18</w:t>
            </w:r>
          </w:p>
        </w:tc>
      </w:tr>
      <w:tr w:rsidR="001D3969" w:rsidRPr="004B5253" w14:paraId="208EA966"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D5451F7"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Sree Metalik</w:t>
            </w:r>
          </w:p>
        </w:tc>
        <w:tc>
          <w:tcPr>
            <w:tcW w:w="1220" w:type="dxa"/>
            <w:tcBorders>
              <w:top w:val="nil"/>
              <w:left w:val="nil"/>
              <w:bottom w:val="single" w:sz="4" w:space="0" w:color="auto"/>
              <w:right w:val="single" w:sz="4" w:space="0" w:color="auto"/>
            </w:tcBorders>
            <w:shd w:val="clear" w:color="auto" w:fill="auto"/>
            <w:noWrap/>
            <w:vAlign w:val="bottom"/>
            <w:hideMark/>
          </w:tcPr>
          <w:p w14:paraId="26D95A3B"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1,287</w:t>
            </w:r>
          </w:p>
        </w:tc>
        <w:tc>
          <w:tcPr>
            <w:tcW w:w="1493" w:type="dxa"/>
            <w:tcBorders>
              <w:top w:val="nil"/>
              <w:left w:val="nil"/>
              <w:bottom w:val="single" w:sz="4" w:space="0" w:color="auto"/>
              <w:right w:val="single" w:sz="4" w:space="0" w:color="auto"/>
            </w:tcBorders>
            <w:shd w:val="clear" w:color="auto" w:fill="auto"/>
            <w:noWrap/>
            <w:vAlign w:val="bottom"/>
            <w:hideMark/>
          </w:tcPr>
          <w:p w14:paraId="7B6759AE"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607</w:t>
            </w:r>
          </w:p>
        </w:tc>
        <w:tc>
          <w:tcPr>
            <w:tcW w:w="1559" w:type="dxa"/>
            <w:tcBorders>
              <w:top w:val="nil"/>
              <w:left w:val="nil"/>
              <w:bottom w:val="single" w:sz="4" w:space="0" w:color="auto"/>
              <w:right w:val="single" w:sz="4" w:space="0" w:color="auto"/>
            </w:tcBorders>
            <w:shd w:val="clear" w:color="auto" w:fill="auto"/>
            <w:noWrap/>
            <w:vAlign w:val="bottom"/>
            <w:hideMark/>
          </w:tcPr>
          <w:p w14:paraId="46E856A8"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47%</w:t>
            </w:r>
          </w:p>
        </w:tc>
        <w:tc>
          <w:tcPr>
            <w:tcW w:w="1701" w:type="dxa"/>
            <w:tcBorders>
              <w:top w:val="nil"/>
              <w:left w:val="nil"/>
              <w:bottom w:val="single" w:sz="4" w:space="0" w:color="auto"/>
              <w:right w:val="single" w:sz="4" w:space="0" w:color="auto"/>
            </w:tcBorders>
            <w:shd w:val="clear" w:color="auto" w:fill="auto"/>
            <w:noWrap/>
            <w:vAlign w:val="bottom"/>
            <w:hideMark/>
          </w:tcPr>
          <w:p w14:paraId="5A513AFA"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53%</w:t>
            </w:r>
          </w:p>
        </w:tc>
        <w:tc>
          <w:tcPr>
            <w:tcW w:w="1560" w:type="dxa"/>
            <w:tcBorders>
              <w:top w:val="nil"/>
              <w:left w:val="nil"/>
              <w:bottom w:val="single" w:sz="4" w:space="0" w:color="auto"/>
              <w:right w:val="single" w:sz="4" w:space="0" w:color="auto"/>
            </w:tcBorders>
            <w:shd w:val="clear" w:color="auto" w:fill="auto"/>
            <w:noWrap/>
            <w:vAlign w:val="bottom"/>
            <w:hideMark/>
          </w:tcPr>
          <w:p w14:paraId="795081C0"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Oct-Dec17</w:t>
            </w:r>
          </w:p>
        </w:tc>
      </w:tr>
      <w:tr w:rsidR="001D3969" w:rsidRPr="004B5253" w14:paraId="4A45AEF6" w14:textId="77777777" w:rsidTr="00921FE3">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C057145" w14:textId="77777777" w:rsidR="001D3969" w:rsidRPr="004B5253" w:rsidRDefault="001D3969" w:rsidP="00DB0EB3">
            <w:pPr>
              <w:spacing w:after="0" w:line="240" w:lineRule="auto"/>
              <w:rPr>
                <w:rFonts w:ascii="Calibri" w:eastAsia="Times New Roman" w:hAnsi="Calibri" w:cs="Calibri"/>
                <w:color w:val="000000"/>
                <w:lang w:eastAsia="en-GB"/>
              </w:rPr>
            </w:pPr>
            <w:r w:rsidRPr="004B5253">
              <w:rPr>
                <w:rFonts w:ascii="Calibri" w:eastAsia="Times New Roman" w:hAnsi="Calibri" w:cs="Calibri"/>
                <w:color w:val="000000"/>
                <w:lang w:eastAsia="en-GB"/>
              </w:rPr>
              <w:t>Total</w:t>
            </w:r>
          </w:p>
        </w:tc>
        <w:tc>
          <w:tcPr>
            <w:tcW w:w="1220" w:type="dxa"/>
            <w:tcBorders>
              <w:top w:val="nil"/>
              <w:left w:val="nil"/>
              <w:bottom w:val="single" w:sz="4" w:space="0" w:color="auto"/>
              <w:right w:val="single" w:sz="4" w:space="0" w:color="auto"/>
            </w:tcBorders>
            <w:shd w:val="clear" w:color="auto" w:fill="auto"/>
            <w:noWrap/>
            <w:vAlign w:val="bottom"/>
            <w:hideMark/>
          </w:tcPr>
          <w:p w14:paraId="17D714EC"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15,981</w:t>
            </w:r>
          </w:p>
        </w:tc>
        <w:tc>
          <w:tcPr>
            <w:tcW w:w="1493" w:type="dxa"/>
            <w:tcBorders>
              <w:top w:val="nil"/>
              <w:left w:val="nil"/>
              <w:bottom w:val="single" w:sz="4" w:space="0" w:color="auto"/>
              <w:right w:val="single" w:sz="4" w:space="0" w:color="auto"/>
            </w:tcBorders>
            <w:shd w:val="clear" w:color="auto" w:fill="auto"/>
            <w:noWrap/>
            <w:vAlign w:val="bottom"/>
            <w:hideMark/>
          </w:tcPr>
          <w:p w14:paraId="314A65B2"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4,875</w:t>
            </w:r>
          </w:p>
        </w:tc>
        <w:tc>
          <w:tcPr>
            <w:tcW w:w="1559" w:type="dxa"/>
            <w:tcBorders>
              <w:top w:val="nil"/>
              <w:left w:val="nil"/>
              <w:bottom w:val="single" w:sz="4" w:space="0" w:color="auto"/>
              <w:right w:val="single" w:sz="4" w:space="0" w:color="auto"/>
            </w:tcBorders>
            <w:shd w:val="clear" w:color="auto" w:fill="auto"/>
            <w:noWrap/>
            <w:vAlign w:val="bottom"/>
            <w:hideMark/>
          </w:tcPr>
          <w:p w14:paraId="0E2C2DD7"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31%</w:t>
            </w:r>
          </w:p>
        </w:tc>
        <w:tc>
          <w:tcPr>
            <w:tcW w:w="1701" w:type="dxa"/>
            <w:tcBorders>
              <w:top w:val="nil"/>
              <w:left w:val="nil"/>
              <w:bottom w:val="single" w:sz="4" w:space="0" w:color="auto"/>
              <w:right w:val="single" w:sz="4" w:space="0" w:color="auto"/>
            </w:tcBorders>
            <w:shd w:val="clear" w:color="auto" w:fill="auto"/>
            <w:noWrap/>
            <w:vAlign w:val="bottom"/>
            <w:hideMark/>
          </w:tcPr>
          <w:p w14:paraId="4FE75238" w14:textId="77777777" w:rsidR="001D3969" w:rsidRPr="004B5253" w:rsidRDefault="001D3969" w:rsidP="00DB0EB3">
            <w:pPr>
              <w:spacing w:after="0" w:line="240" w:lineRule="auto"/>
              <w:jc w:val="center"/>
              <w:rPr>
                <w:rFonts w:ascii="Calibri" w:eastAsia="Times New Roman" w:hAnsi="Calibri" w:cs="Calibri"/>
                <w:color w:val="000000"/>
                <w:lang w:eastAsia="en-GB"/>
              </w:rPr>
            </w:pPr>
            <w:r w:rsidRPr="004B5253">
              <w:rPr>
                <w:rFonts w:ascii="Calibri" w:eastAsia="Times New Roman" w:hAnsi="Calibri" w:cs="Calibri"/>
                <w:color w:val="000000"/>
                <w:lang w:eastAsia="en-GB"/>
              </w:rPr>
              <w:t>69%</w:t>
            </w:r>
          </w:p>
        </w:tc>
        <w:tc>
          <w:tcPr>
            <w:tcW w:w="1560" w:type="dxa"/>
            <w:tcBorders>
              <w:top w:val="nil"/>
              <w:left w:val="nil"/>
              <w:bottom w:val="single" w:sz="4" w:space="0" w:color="auto"/>
              <w:right w:val="single" w:sz="4" w:space="0" w:color="auto"/>
            </w:tcBorders>
            <w:shd w:val="clear" w:color="auto" w:fill="auto"/>
            <w:noWrap/>
            <w:vAlign w:val="bottom"/>
            <w:hideMark/>
          </w:tcPr>
          <w:p w14:paraId="784A0243" w14:textId="77777777" w:rsidR="001D3969" w:rsidRPr="004B5253" w:rsidRDefault="001D3969" w:rsidP="00DB0EB3">
            <w:pPr>
              <w:spacing w:after="0" w:line="240" w:lineRule="auto"/>
              <w:jc w:val="center"/>
              <w:rPr>
                <w:rFonts w:ascii="Calibri" w:eastAsia="Times New Roman" w:hAnsi="Calibri" w:cs="Calibri"/>
                <w:color w:val="000000"/>
                <w:lang w:eastAsia="en-GB"/>
              </w:rPr>
            </w:pPr>
          </w:p>
        </w:tc>
      </w:tr>
    </w:tbl>
    <w:p w14:paraId="2CA2491F" w14:textId="5ED27433" w:rsidR="001D3969" w:rsidRDefault="001D3969"/>
    <w:p w14:paraId="5D64F7CC" w14:textId="41443BC7" w:rsidR="00763864" w:rsidRDefault="00C47DBD" w:rsidP="00763864">
      <w:r>
        <w:t xml:space="preserve">We looked at RBI data on segment wise </w:t>
      </w:r>
      <w:r w:rsidR="00763864">
        <w:t>performance of exposures of banks to address this question. We analyse two time periods: position as of 31Mar2001 and then the position between the period Mar09 and Mar13. Contributions to total gross NPAs of the banking sector by large industries, medium industries and agriculture as of Mar01 were 21%, ~15.8% and 13.3% respectively. Next, for industries (overall) and agriculture, we consider the movement in percentage of total impaired asset ratios between 2009 &amp; 2013. Around 10.2% of all loans to industries were impaired in Mar2009 and this increased by 5.8 percentage points to 16% by Mar13 (and the position has only worsened after 2013 as shown by the more recent numbers quoted above). For agriculture, 5.4% of exposure of the banking sector was impaired as of Mar09 and this worsened by 2.8 percentage points to 8.2% in Mar13.</w:t>
      </w:r>
    </w:p>
    <w:p w14:paraId="05833796" w14:textId="77777777" w:rsidR="00763864" w:rsidRDefault="00763864" w:rsidP="00763864">
      <w:r w:rsidRPr="0013429C">
        <w:rPr>
          <w:noProof/>
          <w:lang w:val="en-US"/>
        </w:rPr>
        <w:drawing>
          <wp:inline distT="0" distB="0" distL="0" distR="0" wp14:anchorId="656178AE" wp14:editId="675F9D2D">
            <wp:extent cx="3380025" cy="135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493" cy="1364315"/>
                    </a:xfrm>
                    <a:prstGeom prst="rect">
                      <a:avLst/>
                    </a:prstGeom>
                    <a:noFill/>
                    <a:ln>
                      <a:noFill/>
                    </a:ln>
                  </pic:spPr>
                </pic:pic>
              </a:graphicData>
            </a:graphic>
          </wp:inline>
        </w:drawing>
      </w:r>
      <w:r w:rsidRPr="0013429C">
        <w:rPr>
          <w:noProof/>
          <w:lang w:val="en-US"/>
        </w:rPr>
        <w:drawing>
          <wp:inline distT="0" distB="0" distL="0" distR="0" wp14:anchorId="5A1DABC0" wp14:editId="3F52CDE0">
            <wp:extent cx="3379470" cy="2692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213" cy="273738"/>
                    </a:xfrm>
                    <a:prstGeom prst="rect">
                      <a:avLst/>
                    </a:prstGeom>
                    <a:noFill/>
                    <a:ln>
                      <a:noFill/>
                    </a:ln>
                  </pic:spPr>
                </pic:pic>
              </a:graphicData>
            </a:graphic>
          </wp:inline>
        </w:drawing>
      </w:r>
    </w:p>
    <w:p w14:paraId="15F82D3E" w14:textId="77777777" w:rsidR="00763864" w:rsidRPr="0048739E" w:rsidRDefault="00763864" w:rsidP="00763864">
      <w:r w:rsidRPr="0048739E">
        <w:rPr>
          <w:i/>
          <w:sz w:val="18"/>
        </w:rPr>
        <w:t>source: Muniappan (2002)</w:t>
      </w:r>
      <w:r>
        <w:rPr>
          <w:i/>
          <w:sz w:val="18"/>
        </w:rPr>
        <w:t>, RBI Deputy Governorat CII Banking Summit 2002 on April 1, 2002</w:t>
      </w:r>
    </w:p>
    <w:p w14:paraId="6CEC5C64" w14:textId="77777777" w:rsidR="00763864" w:rsidRDefault="00763864" w:rsidP="00763864">
      <w:r w:rsidRPr="0013429C">
        <w:rPr>
          <w:noProof/>
          <w:lang w:val="en-US"/>
        </w:rPr>
        <w:drawing>
          <wp:inline distT="0" distB="0" distL="0" distR="0" wp14:anchorId="66B0DE25" wp14:editId="2A470E21">
            <wp:extent cx="3888160" cy="122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4487" cy="1227544"/>
                    </a:xfrm>
                    <a:prstGeom prst="rect">
                      <a:avLst/>
                    </a:prstGeom>
                    <a:noFill/>
                    <a:ln>
                      <a:noFill/>
                    </a:ln>
                  </pic:spPr>
                </pic:pic>
              </a:graphicData>
            </a:graphic>
          </wp:inline>
        </w:drawing>
      </w:r>
    </w:p>
    <w:p w14:paraId="42A1635C" w14:textId="77777777" w:rsidR="00763864" w:rsidRDefault="00763864" w:rsidP="00763864">
      <w:r w:rsidRPr="0013429C">
        <w:rPr>
          <w:noProof/>
          <w:lang w:val="en-US"/>
        </w:rPr>
        <w:drawing>
          <wp:inline distT="0" distB="0" distL="0" distR="0" wp14:anchorId="02F5D5EB" wp14:editId="2C1C4840">
            <wp:extent cx="3917950" cy="98404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450" cy="990952"/>
                    </a:xfrm>
                    <a:prstGeom prst="rect">
                      <a:avLst/>
                    </a:prstGeom>
                    <a:noFill/>
                    <a:ln>
                      <a:noFill/>
                    </a:ln>
                  </pic:spPr>
                </pic:pic>
              </a:graphicData>
            </a:graphic>
          </wp:inline>
        </w:drawing>
      </w:r>
    </w:p>
    <w:p w14:paraId="446DA427" w14:textId="77777777" w:rsidR="00763864" w:rsidRDefault="00763864" w:rsidP="00763864">
      <w:r w:rsidRPr="0013429C">
        <w:rPr>
          <w:noProof/>
          <w:lang w:val="en-US"/>
        </w:rPr>
        <w:lastRenderedPageBreak/>
        <w:drawing>
          <wp:inline distT="0" distB="0" distL="0" distR="0" wp14:anchorId="540C9BB7" wp14:editId="02BE8B82">
            <wp:extent cx="3867416"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1656" cy="956007"/>
                    </a:xfrm>
                    <a:prstGeom prst="rect">
                      <a:avLst/>
                    </a:prstGeom>
                    <a:noFill/>
                    <a:ln>
                      <a:noFill/>
                    </a:ln>
                  </pic:spPr>
                </pic:pic>
              </a:graphicData>
            </a:graphic>
          </wp:inline>
        </w:drawing>
      </w:r>
    </w:p>
    <w:p w14:paraId="3D3F3CF1" w14:textId="77777777" w:rsidR="00763864" w:rsidRDefault="00763864" w:rsidP="00763864">
      <w:r w:rsidRPr="0013429C">
        <w:rPr>
          <w:noProof/>
          <w:lang w:val="en-US"/>
        </w:rPr>
        <w:drawing>
          <wp:inline distT="0" distB="0" distL="0" distR="0" wp14:anchorId="62FAAD67" wp14:editId="45DB2495">
            <wp:extent cx="3860800" cy="9354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5983" cy="941574"/>
                    </a:xfrm>
                    <a:prstGeom prst="rect">
                      <a:avLst/>
                    </a:prstGeom>
                    <a:noFill/>
                    <a:ln>
                      <a:noFill/>
                    </a:ln>
                  </pic:spPr>
                </pic:pic>
              </a:graphicData>
            </a:graphic>
          </wp:inline>
        </w:drawing>
      </w:r>
    </w:p>
    <w:p w14:paraId="3E11BC0C" w14:textId="77777777" w:rsidR="00763864" w:rsidRDefault="00763864" w:rsidP="00763864">
      <w:r w:rsidRPr="0013429C">
        <w:rPr>
          <w:noProof/>
          <w:lang w:val="en-US"/>
        </w:rPr>
        <w:drawing>
          <wp:inline distT="0" distB="0" distL="0" distR="0" wp14:anchorId="031742A5" wp14:editId="2E64779A">
            <wp:extent cx="3831362" cy="93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6027" cy="940944"/>
                    </a:xfrm>
                    <a:prstGeom prst="rect">
                      <a:avLst/>
                    </a:prstGeom>
                    <a:noFill/>
                    <a:ln>
                      <a:noFill/>
                    </a:ln>
                  </pic:spPr>
                </pic:pic>
              </a:graphicData>
            </a:graphic>
          </wp:inline>
        </w:drawing>
      </w:r>
    </w:p>
    <w:p w14:paraId="4967F1AC" w14:textId="77777777" w:rsidR="00763864" w:rsidRDefault="00763864" w:rsidP="00763864">
      <w:r w:rsidRPr="0013429C">
        <w:rPr>
          <w:noProof/>
          <w:lang w:val="en-US"/>
        </w:rPr>
        <w:drawing>
          <wp:inline distT="0" distB="0" distL="0" distR="0" wp14:anchorId="5F4D299C" wp14:editId="2E422E46">
            <wp:extent cx="3790950" cy="22624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5564" cy="230099"/>
                    </a:xfrm>
                    <a:prstGeom prst="rect">
                      <a:avLst/>
                    </a:prstGeom>
                    <a:noFill/>
                    <a:ln>
                      <a:noFill/>
                    </a:ln>
                  </pic:spPr>
                </pic:pic>
              </a:graphicData>
            </a:graphic>
          </wp:inline>
        </w:drawing>
      </w:r>
    </w:p>
    <w:p w14:paraId="4AC0B177" w14:textId="71E2CA29" w:rsidR="00763864" w:rsidRDefault="00763864">
      <w:pPr>
        <w:rPr>
          <w:i/>
          <w:sz w:val="16"/>
        </w:rPr>
      </w:pPr>
      <w:r w:rsidRPr="0048739E">
        <w:rPr>
          <w:i/>
          <w:sz w:val="16"/>
        </w:rPr>
        <w:t>source: KC Chakrabarty (2013), RBI at BANCON 2013 on Nov 16, 2013</w:t>
      </w:r>
    </w:p>
    <w:p w14:paraId="07BA515D" w14:textId="75C409F3" w:rsidR="00C47DBD" w:rsidRPr="00C436C8" w:rsidRDefault="00C47DBD" w:rsidP="00C47DBD">
      <w:r w:rsidRPr="004A1B94">
        <w:rPr>
          <w:highlight w:val="yellow"/>
        </w:rPr>
        <w:t>On the other hand, corporate or industrial NPAs have persisted for many decades now and the banking sector seems to be lending to companies in same sectors that have failed to attract any structural change leading to a vicious cycle of credit growth followed by rising NPAs.</w:t>
      </w:r>
    </w:p>
    <w:p w14:paraId="24727F75" w14:textId="77777777" w:rsidR="00C844F5" w:rsidRPr="00C844F5" w:rsidRDefault="00C844F5">
      <w:pPr>
        <w:rPr>
          <w:i/>
          <w:sz w:val="16"/>
        </w:rPr>
      </w:pPr>
    </w:p>
    <w:p w14:paraId="1321FC29" w14:textId="36A6BA40" w:rsidR="00D93848" w:rsidRDefault="00D93848" w:rsidP="0013429C">
      <w:r>
        <w:t xml:space="preserve">We now </w:t>
      </w:r>
      <w:r w:rsidR="00D54875">
        <w:t>ask if the</w:t>
      </w:r>
      <w:r>
        <w:t xml:space="preserve"> interest rates charged by banks to different sectors of the economy are commensurate with the risks involved. Given the lack of data availability on actual interest rates charged to borrowers by banks, we have pulled together qualitative inputs that help the reader understand the extent of differences between interest rates charged to large industry vs what is charged to others. This is especially important given that the large borrowers have hitherto enjoyed the benefits of ‘evergreening’ or ‘restructuring’ of their loans by banks</w:t>
      </w:r>
      <w:r w:rsidR="00524E4D">
        <w:t xml:space="preserve"> </w:t>
      </w:r>
      <w:r w:rsidR="00524E4D" w:rsidRPr="00524E4D">
        <w:rPr>
          <w:highlight w:val="darkGray"/>
        </w:rPr>
        <w:t>(see table below for share of different borrower segments in restructured standard advances)</w:t>
      </w:r>
      <w:r>
        <w:t>. Risk premium charged by banks to borrowers over and above their cost of funds should reflect the historical loss rate from that segment. As we have seen above, the percentage of impaired assets of assets of banks in agriculture has been far lower than that in industry.</w:t>
      </w:r>
      <w:r w:rsidR="003854BB">
        <w:t xml:space="preserve"> </w:t>
      </w:r>
    </w:p>
    <w:p w14:paraId="3543FBBF" w14:textId="481D89FD" w:rsidR="00524E4D" w:rsidRDefault="00524E4D" w:rsidP="0013429C">
      <w:r w:rsidRPr="00524E4D">
        <w:rPr>
          <w:noProof/>
          <w:lang w:val="en-US"/>
        </w:rPr>
        <w:lastRenderedPageBreak/>
        <w:drawing>
          <wp:inline distT="0" distB="0" distL="0" distR="0" wp14:anchorId="59141877" wp14:editId="66042573">
            <wp:extent cx="3981450" cy="2374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2374900"/>
                    </a:xfrm>
                    <a:prstGeom prst="rect">
                      <a:avLst/>
                    </a:prstGeom>
                    <a:noFill/>
                    <a:ln>
                      <a:noFill/>
                    </a:ln>
                  </pic:spPr>
                </pic:pic>
              </a:graphicData>
            </a:graphic>
          </wp:inline>
        </w:drawing>
      </w:r>
    </w:p>
    <w:p w14:paraId="26EB6012" w14:textId="77777777" w:rsidR="00524E4D" w:rsidRDefault="00524E4D" w:rsidP="00524E4D">
      <w:pPr>
        <w:rPr>
          <w:i/>
          <w:sz w:val="16"/>
        </w:rPr>
      </w:pPr>
      <w:r w:rsidRPr="0048739E">
        <w:rPr>
          <w:i/>
          <w:sz w:val="16"/>
        </w:rPr>
        <w:t>source: KC Chakrabarty (2013), RBI at BANCON 2013 on Nov 16, 2013</w:t>
      </w:r>
    </w:p>
    <w:p w14:paraId="7E9EA34B" w14:textId="77777777" w:rsidR="00524E4D" w:rsidRDefault="00524E4D" w:rsidP="0013429C"/>
    <w:p w14:paraId="1910894F" w14:textId="409065D0" w:rsidR="00D93848" w:rsidRDefault="00D93848" w:rsidP="0013429C">
      <w:r>
        <w:t xml:space="preserve">The then RBI Governor-YV Reddy, in a speech delivered at the National Institute of Bank Management (Pune) on January 6, </w:t>
      </w:r>
      <w:commentRangeStart w:id="1"/>
      <w:r>
        <w:t>2004</w:t>
      </w:r>
      <w:commentRangeEnd w:id="1"/>
      <w:r w:rsidR="007263E8">
        <w:rPr>
          <w:rStyle w:val="CommentReference"/>
        </w:rPr>
        <w:commentReference w:id="1"/>
      </w:r>
      <w:r>
        <w:t xml:space="preserve"> acknowledged that bank</w:t>
      </w:r>
      <w:r w:rsidR="002924B5">
        <w:t>s</w:t>
      </w:r>
      <w:r>
        <w:t xml:space="preserve"> followed a sort of rule in lending: small industry loans at 11pc, agricultural loans at 10pc and industry loans at 7pc.</w:t>
      </w:r>
      <w:r w:rsidR="00B07452">
        <w:t xml:space="preserve"> </w:t>
      </w:r>
      <w:r w:rsidR="00B07452" w:rsidRPr="00B07452">
        <w:rPr>
          <w:highlight w:val="darkGray"/>
        </w:rPr>
        <w:t>&lt;reference is RBI Bulletin of March 2004, soft copy attached to email and screen shot at the end of this note&gt;</w:t>
      </w:r>
    </w:p>
    <w:p w14:paraId="328E9807" w14:textId="1961C3C3" w:rsidR="00D93848" w:rsidRDefault="003854BB" w:rsidP="0013429C">
      <w:r>
        <w:t xml:space="preserve">As we also noted above, institutional credit, irrespective of rates, is not even available to the small and marginal farmer and they depend primarily on non-institutional sources of financing. </w:t>
      </w:r>
    </w:p>
    <w:p w14:paraId="569FCB42" w14:textId="4C05E539" w:rsidR="00CA05F8" w:rsidRDefault="00CD6694" w:rsidP="00CD6694">
      <w:pPr>
        <w:pStyle w:val="Heading2"/>
      </w:pPr>
      <w:r>
        <w:t>The Sector Specificity of Corporate NPAs</w:t>
      </w:r>
    </w:p>
    <w:p w14:paraId="19379F24" w14:textId="4AA30243" w:rsidR="00CD6694" w:rsidRDefault="00BE14D1" w:rsidP="00CD6694">
      <w:r>
        <w:t>It can be claimed that the agricultural sector suffers from structural bottlenecks and repeatedly has to be bailed out. However, corporate lending moves from sector to sector in response to emerging opportunities and thus has a self-correcting feature. The persistent and incr</w:t>
      </w:r>
      <w:r w:rsidR="00290711">
        <w:t>easing rate of corporate NPAs should be</w:t>
      </w:r>
      <w:r>
        <w:t xml:space="preserve"> sufficient to disabuse us of this notion. However, </w:t>
      </w:r>
      <w:r w:rsidR="00126B14">
        <w:t xml:space="preserve">it must also be noted that </w:t>
      </w:r>
      <w:r>
        <w:t xml:space="preserve">these NPAs repeatedly originate in similar sectors. For </w:t>
      </w:r>
      <w:r w:rsidR="005F65C4">
        <w:t xml:space="preserve">instance, of the </w:t>
      </w:r>
      <w:r w:rsidR="005F65C4" w:rsidRPr="00DC2117">
        <w:rPr>
          <w:highlight w:val="darkGray"/>
        </w:rPr>
        <w:t>top 1</w:t>
      </w:r>
      <w:r w:rsidR="00DC2117" w:rsidRPr="00DC2117">
        <w:rPr>
          <w:highlight w:val="darkGray"/>
        </w:rPr>
        <w:t>2</w:t>
      </w:r>
      <w:r w:rsidR="005F65C4" w:rsidRPr="00DC2117">
        <w:rPr>
          <w:highlight w:val="darkGray"/>
        </w:rPr>
        <w:t xml:space="preserve"> corpor</w:t>
      </w:r>
      <w:r w:rsidRPr="00DC2117">
        <w:rPr>
          <w:highlight w:val="darkGray"/>
        </w:rPr>
        <w:t>ate defaulters</w:t>
      </w:r>
      <w:r w:rsidR="00DC2117" w:rsidRPr="00DC2117">
        <w:rPr>
          <w:highlight w:val="darkGray"/>
        </w:rPr>
        <w:t>, all but one (Amtek Auto)</w:t>
      </w:r>
      <w:r w:rsidRPr="00DC2117">
        <w:rPr>
          <w:highlight w:val="darkGray"/>
        </w:rPr>
        <w:t xml:space="preserve"> belong to the infrastructure and heavy industry </w:t>
      </w:r>
      <w:commentRangeStart w:id="2"/>
      <w:commentRangeStart w:id="3"/>
      <w:r w:rsidRPr="00DC2117">
        <w:rPr>
          <w:highlight w:val="darkGray"/>
        </w:rPr>
        <w:t>sector</w:t>
      </w:r>
      <w:commentRangeEnd w:id="2"/>
      <w:r w:rsidR="005C31A9" w:rsidRPr="00DC2117">
        <w:rPr>
          <w:rStyle w:val="CommentReference"/>
          <w:highlight w:val="darkGray"/>
        </w:rPr>
        <w:commentReference w:id="2"/>
      </w:r>
      <w:commentRangeEnd w:id="3"/>
      <w:r w:rsidR="005C31A9" w:rsidRPr="00DC2117">
        <w:rPr>
          <w:rStyle w:val="CommentReference"/>
          <w:highlight w:val="darkGray"/>
        </w:rPr>
        <w:commentReference w:id="3"/>
      </w:r>
      <w:r w:rsidRPr="00DC2117">
        <w:rPr>
          <w:highlight w:val="darkGray"/>
        </w:rPr>
        <w:t xml:space="preserve">. </w:t>
      </w:r>
      <w:r w:rsidR="00DC2117" w:rsidRPr="00DC2117">
        <w:rPr>
          <w:highlight w:val="darkGray"/>
        </w:rPr>
        <w:t xml:space="preserve">In fact, of the top 10 borrowers </w:t>
      </w:r>
      <w:r w:rsidR="00DC2117">
        <w:rPr>
          <w:highlight w:val="darkGray"/>
        </w:rPr>
        <w:t xml:space="preserve">of </w:t>
      </w:r>
      <w:r w:rsidR="00DC2117" w:rsidRPr="00DC2117">
        <w:rPr>
          <w:highlight w:val="darkGray"/>
        </w:rPr>
        <w:t>the Indian banking system, even if one leaves out ADAG &amp; Videocon</w:t>
      </w:r>
      <w:r w:rsidR="00F61527">
        <w:rPr>
          <w:highlight w:val="darkGray"/>
        </w:rPr>
        <w:t xml:space="preserve"> (the latter does have substantial interests in infrastructure</w:t>
      </w:r>
      <w:r w:rsidR="008669E5">
        <w:rPr>
          <w:highlight w:val="darkGray"/>
        </w:rPr>
        <w:t xml:space="preserve"> and mining</w:t>
      </w:r>
      <w:r w:rsidR="00F61527">
        <w:rPr>
          <w:highlight w:val="darkGray"/>
        </w:rPr>
        <w:t>)</w:t>
      </w:r>
      <w:r w:rsidR="00DC2117" w:rsidRPr="00DC2117">
        <w:rPr>
          <w:highlight w:val="darkGray"/>
        </w:rPr>
        <w:t>, all others have businesses primarily in pure play infrastructure and heavy industries.</w:t>
      </w:r>
      <w:r w:rsidR="00DC2117">
        <w:t xml:space="preserve">  </w:t>
      </w:r>
    </w:p>
    <w:p w14:paraId="5FE061F5" w14:textId="7E3EA416" w:rsidR="00606570" w:rsidRPr="00DC2117" w:rsidRDefault="00606570" w:rsidP="00606570">
      <w:pPr>
        <w:spacing w:line="240" w:lineRule="auto"/>
        <w:jc w:val="both"/>
        <w:rPr>
          <w:szCs w:val="20"/>
          <w:lang w:val="en-IN"/>
        </w:rPr>
      </w:pPr>
      <w:r w:rsidRPr="00DC2117">
        <w:rPr>
          <w:szCs w:val="20"/>
          <w:highlight w:val="darkGray"/>
          <w:lang w:val="en-IN"/>
        </w:rPr>
        <w:t xml:space="preserve">As can be observed from </w:t>
      </w:r>
      <w:r w:rsidR="00B07452" w:rsidRPr="00DC2117">
        <w:rPr>
          <w:szCs w:val="20"/>
          <w:highlight w:val="darkGray"/>
          <w:lang w:val="en-IN"/>
        </w:rPr>
        <w:t>the following chart from RBI</w:t>
      </w:r>
      <w:r w:rsidRPr="00DC2117">
        <w:rPr>
          <w:szCs w:val="20"/>
          <w:highlight w:val="darkGray"/>
          <w:lang w:val="en-IN"/>
        </w:rPr>
        <w:t xml:space="preserve">, both agriculture and services have seen their share of stressed assets falling </w:t>
      </w:r>
      <w:r w:rsidR="003E24CD" w:rsidRPr="00DC2117">
        <w:rPr>
          <w:szCs w:val="20"/>
          <w:highlight w:val="darkGray"/>
          <w:lang w:val="en-IN"/>
        </w:rPr>
        <w:t xml:space="preserve">between 2011 &amp; 2015 </w:t>
      </w:r>
      <w:r w:rsidRPr="00DC2117">
        <w:rPr>
          <w:szCs w:val="20"/>
          <w:highlight w:val="darkGray"/>
          <w:lang w:val="en-IN"/>
        </w:rPr>
        <w:t>whereas for Industries the situation has been the opposite. Within Industries, the situation has been that of acute stress in Medium &amp; Large Scale Companies with both touching 20% of their advances under stress in Jun15.</w:t>
      </w:r>
      <w:r w:rsidRPr="00DC2117">
        <w:rPr>
          <w:szCs w:val="20"/>
          <w:lang w:val="en-IN"/>
        </w:rPr>
        <w:t xml:space="preserve"> </w:t>
      </w:r>
    </w:p>
    <w:p w14:paraId="11521308" w14:textId="77777777" w:rsidR="00606570" w:rsidRPr="00DC2117" w:rsidRDefault="00606570" w:rsidP="00CD6694">
      <w:pPr>
        <w:rPr>
          <w:sz w:val="24"/>
        </w:rPr>
      </w:pPr>
    </w:p>
    <w:p w14:paraId="071EED0F" w14:textId="769BE2CA" w:rsidR="005C31A9" w:rsidRPr="00DC2117" w:rsidRDefault="00606570" w:rsidP="00CD6694">
      <w:pPr>
        <w:rPr>
          <w:sz w:val="24"/>
        </w:rPr>
      </w:pPr>
      <w:r w:rsidRPr="00DC2117">
        <w:rPr>
          <w:b/>
          <w:noProof/>
          <w:color w:val="0563C1" w:themeColor="hyperlink"/>
          <w:szCs w:val="20"/>
          <w:lang w:val="en-US"/>
        </w:rPr>
        <w:lastRenderedPageBreak/>
        <w:drawing>
          <wp:inline distT="0" distB="0" distL="0" distR="0" wp14:anchorId="55584C07" wp14:editId="37699112">
            <wp:extent cx="4486275" cy="2343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6">
                      <a:extLst>
                        <a:ext uri="{28A0092B-C50C-407E-A947-70E740481C1C}">
                          <a14:useLocalDpi xmlns:a14="http://schemas.microsoft.com/office/drawing/2010/main" val="0"/>
                        </a:ext>
                      </a:extLst>
                    </a:blip>
                    <a:srcRect t="6250"/>
                    <a:stretch/>
                  </pic:blipFill>
                  <pic:spPr bwMode="auto">
                    <a:xfrm>
                      <a:off x="0" y="0"/>
                      <a:ext cx="448627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45B7104F" w14:textId="289F7ECA" w:rsidR="00606570" w:rsidRPr="00DC2117" w:rsidRDefault="003E24CD" w:rsidP="00606570">
      <w:pPr>
        <w:jc w:val="both"/>
        <w:rPr>
          <w:szCs w:val="20"/>
          <w:lang w:val="en-IN"/>
        </w:rPr>
      </w:pPr>
      <w:r w:rsidRPr="00DC2117">
        <w:rPr>
          <w:szCs w:val="20"/>
          <w:highlight w:val="darkGray"/>
          <w:lang w:val="en-IN"/>
        </w:rPr>
        <w:t>The two c</w:t>
      </w:r>
      <w:r w:rsidR="00606570" w:rsidRPr="00DC2117">
        <w:rPr>
          <w:szCs w:val="20"/>
          <w:highlight w:val="darkGray"/>
          <w:lang w:val="en-IN"/>
        </w:rPr>
        <w:t xml:space="preserve">harts below provide valuable insights about what has been happening in the Large Corporates sector since 2005 which has led to the stress situation observed above. </w:t>
      </w:r>
      <w:r w:rsidRPr="00DC2117">
        <w:rPr>
          <w:szCs w:val="20"/>
          <w:highlight w:val="darkGray"/>
          <w:lang w:val="en-IN"/>
        </w:rPr>
        <w:t>The first c</w:t>
      </w:r>
      <w:r w:rsidR="00606570" w:rsidRPr="00DC2117">
        <w:rPr>
          <w:szCs w:val="20"/>
          <w:highlight w:val="darkGray"/>
          <w:lang w:val="en-IN"/>
        </w:rPr>
        <w:t xml:space="preserve">hart </w:t>
      </w:r>
      <w:r w:rsidRPr="00DC2117">
        <w:rPr>
          <w:szCs w:val="20"/>
          <w:highlight w:val="darkGray"/>
          <w:lang w:val="en-IN"/>
        </w:rPr>
        <w:t xml:space="preserve">(source: RBI) </w:t>
      </w:r>
      <w:r w:rsidR="00606570" w:rsidRPr="00DC2117">
        <w:rPr>
          <w:szCs w:val="20"/>
          <w:highlight w:val="darkGray"/>
          <w:lang w:val="en-IN"/>
        </w:rPr>
        <w:t>provides an index of movements in Debt, Capex &amp; Earnings between 2005 and 2015 of 1000 top non-financial &amp; non-software companies in India. This chart clearly shows that companies have continued to pile up more debt while their capex has been falling since 2011. This is a combination of global economic &amp; domestic policy factors resulting in slowdown in economic activity namely, lack of environmental clearances to projects, policy indecision, supply uncertainty, high input costs etc.</w:t>
      </w:r>
      <w:r w:rsidR="00606570" w:rsidRPr="00DC2117">
        <w:rPr>
          <w:szCs w:val="20"/>
          <w:lang w:val="en-IN"/>
        </w:rPr>
        <w:t xml:space="preserve">  </w:t>
      </w:r>
    </w:p>
    <w:p w14:paraId="6F9EFB7B" w14:textId="65020263" w:rsidR="003E24CD" w:rsidRPr="00DC2117" w:rsidRDefault="00606570" w:rsidP="00606570">
      <w:pPr>
        <w:jc w:val="both"/>
        <w:rPr>
          <w:szCs w:val="20"/>
          <w:lang w:val="en-IN"/>
        </w:rPr>
      </w:pPr>
      <w:r w:rsidRPr="00DC2117">
        <w:rPr>
          <w:noProof/>
          <w:szCs w:val="20"/>
          <w:lang w:val="en-US"/>
        </w:rPr>
        <w:drawing>
          <wp:inline distT="0" distB="0" distL="0" distR="0" wp14:anchorId="28BA07FC" wp14:editId="03D1065F">
            <wp:extent cx="4171950" cy="1819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7">
                      <a:extLst>
                        <a:ext uri="{28A0092B-C50C-407E-A947-70E740481C1C}">
                          <a14:useLocalDpi xmlns:a14="http://schemas.microsoft.com/office/drawing/2010/main" val="0"/>
                        </a:ext>
                      </a:extLst>
                    </a:blip>
                    <a:srcRect t="8543" b="22469"/>
                    <a:stretch/>
                  </pic:blipFill>
                  <pic:spPr bwMode="auto">
                    <a:xfrm>
                      <a:off x="0" y="0"/>
                      <a:ext cx="417195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698D900" w14:textId="1C683732" w:rsidR="003E24CD" w:rsidRPr="00DC2117" w:rsidRDefault="003E24CD" w:rsidP="003E24CD">
      <w:pPr>
        <w:jc w:val="both"/>
        <w:rPr>
          <w:szCs w:val="20"/>
          <w:lang w:val="en-IN"/>
        </w:rPr>
      </w:pPr>
      <w:r w:rsidRPr="00DC2117">
        <w:rPr>
          <w:szCs w:val="20"/>
          <w:highlight w:val="darkGray"/>
          <w:lang w:val="en-IN"/>
        </w:rPr>
        <w:t>The second chart from RBI data shows the rupee value of stalled projects in the Private sector &amp; Government sector between 2008 &amp; 2016. We can clearly see the elevated levels of stalled projects since Sep11.</w:t>
      </w:r>
      <w:r w:rsidRPr="00DC2117">
        <w:rPr>
          <w:szCs w:val="20"/>
          <w:lang w:val="en-IN"/>
        </w:rPr>
        <w:t xml:space="preserve"> </w:t>
      </w:r>
    </w:p>
    <w:p w14:paraId="192278B8" w14:textId="77777777" w:rsidR="003E24CD" w:rsidRPr="00DC2117" w:rsidRDefault="003E24CD" w:rsidP="00606570">
      <w:pPr>
        <w:jc w:val="both"/>
        <w:rPr>
          <w:szCs w:val="20"/>
          <w:lang w:val="en-IN"/>
        </w:rPr>
      </w:pPr>
    </w:p>
    <w:p w14:paraId="1D59709B" w14:textId="44363BC0" w:rsidR="00606570" w:rsidRPr="00DC2117" w:rsidRDefault="00606570" w:rsidP="00606570">
      <w:pPr>
        <w:jc w:val="both"/>
        <w:rPr>
          <w:szCs w:val="20"/>
          <w:lang w:val="en-IN"/>
        </w:rPr>
      </w:pPr>
      <w:r w:rsidRPr="00DC2117">
        <w:rPr>
          <w:b/>
          <w:noProof/>
          <w:szCs w:val="20"/>
          <w:lang w:val="en-US"/>
        </w:rPr>
        <w:drawing>
          <wp:inline distT="0" distB="0" distL="0" distR="0" wp14:anchorId="04EE2A5B" wp14:editId="3FDB8F3E">
            <wp:extent cx="4143375" cy="1800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8">
                      <a:extLst>
                        <a:ext uri="{28A0092B-C50C-407E-A947-70E740481C1C}">
                          <a14:useLocalDpi xmlns:a14="http://schemas.microsoft.com/office/drawing/2010/main" val="0"/>
                        </a:ext>
                      </a:extLst>
                    </a:blip>
                    <a:srcRect t="8036"/>
                    <a:stretch/>
                  </pic:blipFill>
                  <pic:spPr bwMode="auto">
                    <a:xfrm>
                      <a:off x="0" y="0"/>
                      <a:ext cx="4143375" cy="1800225"/>
                    </a:xfrm>
                    <a:prstGeom prst="rect">
                      <a:avLst/>
                    </a:prstGeom>
                    <a:noFill/>
                    <a:ln>
                      <a:noFill/>
                    </a:ln>
                    <a:extLst>
                      <a:ext uri="{53640926-AAD7-44D8-BBD7-CCE9431645EC}">
                        <a14:shadowObscured xmlns:a14="http://schemas.microsoft.com/office/drawing/2010/main"/>
                      </a:ext>
                    </a:extLst>
                  </pic:spPr>
                </pic:pic>
              </a:graphicData>
            </a:graphic>
          </wp:inline>
        </w:drawing>
      </w:r>
    </w:p>
    <w:p w14:paraId="733D0C6D" w14:textId="275D0D6C" w:rsidR="00606570" w:rsidRPr="00DC2117" w:rsidRDefault="00606570" w:rsidP="00606570">
      <w:pPr>
        <w:jc w:val="both"/>
        <w:rPr>
          <w:szCs w:val="20"/>
          <w:highlight w:val="darkGray"/>
          <w:lang w:val="en-IN"/>
        </w:rPr>
      </w:pPr>
      <w:r w:rsidRPr="00DC2117">
        <w:rPr>
          <w:szCs w:val="20"/>
          <w:highlight w:val="darkGray"/>
          <w:lang w:val="en-IN"/>
        </w:rPr>
        <w:lastRenderedPageBreak/>
        <w:t xml:space="preserve">Key sectors that have suffered difficulties owing to the reasons mentioned above and contributing to a large share of the stress in the banking sector are: Mining, Iron &amp; Steel, Textiles, Aviation &amp; Infrastructure incl. Power &amp; Roads. </w:t>
      </w:r>
    </w:p>
    <w:p w14:paraId="4B951AA0" w14:textId="5CF49B5E" w:rsidR="00606570" w:rsidRPr="00DC2117" w:rsidRDefault="00606570" w:rsidP="00606570">
      <w:pPr>
        <w:jc w:val="both"/>
        <w:rPr>
          <w:szCs w:val="20"/>
          <w:lang w:val="en-IN"/>
        </w:rPr>
      </w:pPr>
      <w:r w:rsidRPr="00DC2117">
        <w:rPr>
          <w:szCs w:val="20"/>
          <w:highlight w:val="darkGray"/>
          <w:lang w:val="en-IN"/>
        </w:rPr>
        <w:t>Stressed sectors have had a share of around 25% in the overall advances of the banking sector. However, the stress is reflected in their much higher contribution to the banking sector’s total stressed advances increasing from just &lt;30% in Mar11 to more than 50% in Jun15 (</w:t>
      </w:r>
      <w:r w:rsidR="003E24CD" w:rsidRPr="00DC2117">
        <w:rPr>
          <w:szCs w:val="20"/>
          <w:highlight w:val="darkGray"/>
          <w:lang w:val="en-IN"/>
        </w:rPr>
        <w:t>c</w:t>
      </w:r>
      <w:r w:rsidRPr="00DC2117">
        <w:rPr>
          <w:szCs w:val="20"/>
          <w:highlight w:val="darkGray"/>
          <w:lang w:val="en-IN"/>
        </w:rPr>
        <w:t xml:space="preserve">hart </w:t>
      </w:r>
      <w:r w:rsidR="003E24CD" w:rsidRPr="00DC2117">
        <w:rPr>
          <w:szCs w:val="20"/>
          <w:highlight w:val="darkGray"/>
          <w:lang w:val="en-IN"/>
        </w:rPr>
        <w:t>below</w:t>
      </w:r>
      <w:r w:rsidRPr="00DC2117">
        <w:rPr>
          <w:szCs w:val="20"/>
          <w:highlight w:val="darkGray"/>
          <w:lang w:val="en-IN"/>
        </w:rPr>
        <w:t>).</w:t>
      </w:r>
    </w:p>
    <w:p w14:paraId="3CEB51D1" w14:textId="2CD43D9C" w:rsidR="00606570" w:rsidRPr="00F413BD" w:rsidRDefault="00606570" w:rsidP="00606570">
      <w:pPr>
        <w:jc w:val="both"/>
        <w:rPr>
          <w:sz w:val="20"/>
          <w:szCs w:val="20"/>
          <w:lang w:val="en-IN"/>
        </w:rPr>
      </w:pPr>
      <w:r w:rsidRPr="00F413BD">
        <w:rPr>
          <w:b/>
          <w:noProof/>
          <w:color w:val="0563C1" w:themeColor="hyperlink"/>
          <w:sz w:val="20"/>
          <w:szCs w:val="20"/>
          <w:lang w:val="en-US"/>
        </w:rPr>
        <w:drawing>
          <wp:anchor distT="0" distB="0" distL="114300" distR="114300" simplePos="0" relativeHeight="251659264" behindDoc="1" locked="0" layoutInCell="1" allowOverlap="1" wp14:anchorId="6513217A" wp14:editId="29F82B00">
            <wp:simplePos x="0" y="0"/>
            <wp:positionH relativeFrom="column">
              <wp:posOffset>0</wp:posOffset>
            </wp:positionH>
            <wp:positionV relativeFrom="paragraph">
              <wp:posOffset>300990</wp:posOffset>
            </wp:positionV>
            <wp:extent cx="4095750" cy="2238375"/>
            <wp:effectExtent l="0" t="0" r="0" b="9525"/>
            <wp:wrapTight wrapText="bothSides">
              <wp:wrapPolygon edited="0">
                <wp:start x="0" y="0"/>
                <wp:lineTo x="0" y="21508"/>
                <wp:lineTo x="21500" y="21508"/>
                <wp:lineTo x="215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9">
                      <a:extLst>
                        <a:ext uri="{28A0092B-C50C-407E-A947-70E740481C1C}">
                          <a14:useLocalDpi xmlns:a14="http://schemas.microsoft.com/office/drawing/2010/main" val="0"/>
                        </a:ext>
                      </a:extLst>
                    </a:blip>
                    <a:srcRect t="7143"/>
                    <a:stretch/>
                  </pic:blipFill>
                  <pic:spPr bwMode="auto">
                    <a:xfrm>
                      <a:off x="0" y="0"/>
                      <a:ext cx="40957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E873C" w14:textId="77777777" w:rsidR="00606570" w:rsidRPr="00F413BD" w:rsidRDefault="00606570" w:rsidP="00606570">
      <w:pPr>
        <w:jc w:val="both"/>
        <w:rPr>
          <w:sz w:val="20"/>
          <w:szCs w:val="20"/>
          <w:lang w:val="en-IN"/>
        </w:rPr>
      </w:pPr>
    </w:p>
    <w:p w14:paraId="0486C724" w14:textId="77777777" w:rsidR="00606570" w:rsidRPr="00F413BD" w:rsidRDefault="00606570" w:rsidP="00606570">
      <w:pPr>
        <w:jc w:val="both"/>
        <w:rPr>
          <w:sz w:val="20"/>
          <w:szCs w:val="20"/>
          <w:lang w:val="en-IN"/>
        </w:rPr>
      </w:pPr>
    </w:p>
    <w:p w14:paraId="41926859" w14:textId="77777777" w:rsidR="00606570" w:rsidRPr="00F413BD" w:rsidRDefault="00606570" w:rsidP="00606570">
      <w:pPr>
        <w:jc w:val="both"/>
        <w:rPr>
          <w:sz w:val="20"/>
          <w:szCs w:val="20"/>
          <w:lang w:val="en-IN"/>
        </w:rPr>
      </w:pPr>
    </w:p>
    <w:p w14:paraId="3754A7D3" w14:textId="77777777" w:rsidR="00606570" w:rsidRDefault="00606570" w:rsidP="005C31A9">
      <w:pPr>
        <w:pStyle w:val="Heading2"/>
      </w:pPr>
    </w:p>
    <w:p w14:paraId="24425F71" w14:textId="77777777" w:rsidR="00606570" w:rsidRDefault="00606570" w:rsidP="005C31A9">
      <w:pPr>
        <w:pStyle w:val="Heading2"/>
      </w:pPr>
    </w:p>
    <w:p w14:paraId="34EE352E" w14:textId="77777777" w:rsidR="00606570" w:rsidRDefault="00606570" w:rsidP="005C31A9">
      <w:pPr>
        <w:pStyle w:val="Heading2"/>
      </w:pPr>
    </w:p>
    <w:p w14:paraId="56151C9E" w14:textId="77777777" w:rsidR="00606570" w:rsidRDefault="00606570" w:rsidP="005C31A9">
      <w:pPr>
        <w:pStyle w:val="Heading2"/>
      </w:pPr>
    </w:p>
    <w:p w14:paraId="76F116CF" w14:textId="77777777" w:rsidR="00606570" w:rsidRDefault="00606570" w:rsidP="005C31A9">
      <w:pPr>
        <w:pStyle w:val="Heading2"/>
      </w:pPr>
    </w:p>
    <w:p w14:paraId="49F69668" w14:textId="77777777" w:rsidR="00606570" w:rsidRDefault="00606570" w:rsidP="005C31A9">
      <w:pPr>
        <w:pStyle w:val="Heading2"/>
      </w:pPr>
    </w:p>
    <w:p w14:paraId="38A58368" w14:textId="77777777" w:rsidR="00606570" w:rsidRDefault="00606570" w:rsidP="005C31A9">
      <w:pPr>
        <w:pStyle w:val="Heading2"/>
      </w:pPr>
    </w:p>
    <w:p w14:paraId="678ECBF9" w14:textId="13F4FD49" w:rsidR="005C31A9" w:rsidRDefault="005C31A9" w:rsidP="005C31A9">
      <w:pPr>
        <w:pStyle w:val="Heading2"/>
      </w:pPr>
      <w:r>
        <w:t>Conclusion</w:t>
      </w:r>
    </w:p>
    <w:p w14:paraId="1391B367" w14:textId="7E2791D7" w:rsidR="005C31A9" w:rsidRPr="00051079" w:rsidRDefault="005C31A9" w:rsidP="005C31A9">
      <w:pPr>
        <w:pStyle w:val="NormalWeb"/>
        <w:rPr>
          <w:rFonts w:asciiTheme="minorHAnsi" w:eastAsiaTheme="minorHAnsi" w:hAnsiTheme="minorHAnsi" w:cstheme="minorBidi"/>
          <w:sz w:val="22"/>
          <w:szCs w:val="22"/>
          <w:lang w:val="en-GB"/>
        </w:rPr>
      </w:pPr>
      <w:r w:rsidRPr="00051079">
        <w:rPr>
          <w:rFonts w:asciiTheme="minorHAnsi" w:eastAsiaTheme="minorHAnsi" w:hAnsiTheme="minorHAnsi" w:cstheme="minorBidi"/>
          <w:sz w:val="22"/>
          <w:szCs w:val="22"/>
          <w:lang w:val="en-GB"/>
        </w:rPr>
        <w:t xml:space="preserve">As in agriculture, the corporate NPA crisis is sector-specific, dominated by large accounts, not accompanied by adequate structural reforms, and expensive for the public exchequer. </w:t>
      </w:r>
      <w:r w:rsidR="004B5BD7" w:rsidRPr="00051079">
        <w:rPr>
          <w:rFonts w:asciiTheme="minorHAnsi" w:eastAsiaTheme="minorHAnsi" w:hAnsiTheme="minorHAnsi" w:cstheme="minorBidi"/>
          <w:sz w:val="22"/>
          <w:szCs w:val="22"/>
          <w:lang w:val="en-GB"/>
        </w:rPr>
        <w:t xml:space="preserve">Further, the scale of the corporate NPA problem is an order of magnitude higher. </w:t>
      </w:r>
      <w:r w:rsidRPr="00051079">
        <w:rPr>
          <w:rFonts w:asciiTheme="minorHAnsi" w:eastAsiaTheme="minorHAnsi" w:hAnsiTheme="minorHAnsi" w:cstheme="minorBidi"/>
          <w:sz w:val="22"/>
          <w:szCs w:val="22"/>
          <w:lang w:val="en-GB"/>
        </w:rPr>
        <w:t xml:space="preserve">If the recapitalization of banks is welcomed, why is a farm loan waiver not acceptable? </w:t>
      </w:r>
    </w:p>
    <w:p w14:paraId="579C2121" w14:textId="77777777" w:rsidR="005C31A9" w:rsidRPr="00051079" w:rsidRDefault="005C31A9" w:rsidP="005C31A9">
      <w:pPr>
        <w:pStyle w:val="NormalWeb"/>
        <w:rPr>
          <w:rFonts w:asciiTheme="minorHAnsi" w:eastAsiaTheme="minorHAnsi" w:hAnsiTheme="minorHAnsi" w:cstheme="minorBidi"/>
          <w:sz w:val="22"/>
          <w:szCs w:val="22"/>
          <w:lang w:val="en-GB"/>
        </w:rPr>
      </w:pPr>
      <w:r w:rsidRPr="00051079">
        <w:rPr>
          <w:rFonts w:asciiTheme="minorHAnsi" w:eastAsiaTheme="minorHAnsi" w:hAnsiTheme="minorHAnsi" w:cstheme="minorBidi"/>
          <w:sz w:val="22"/>
          <w:szCs w:val="22"/>
          <w:lang w:val="en-GB"/>
        </w:rPr>
        <w:t xml:space="preserve">It seems that the criticism of farm loan waivers reflects a view of the proper relation between the farm versus the non-farm sectors. It is believed that food prices for consumers must be kept low through restrictions on farmers and subsidies to consumers. The Organization for Economic Co-operation and Development (OECD) estimates that the average yearly revenue lost by Indian farmers between 2014 and 2016 on account of export restrictions, net of subsidies received, is ₹ 1.65 trillion. </w:t>
      </w:r>
    </w:p>
    <w:p w14:paraId="40C559A7" w14:textId="77777777" w:rsidR="005C31A9" w:rsidRPr="00051079" w:rsidRDefault="005C31A9" w:rsidP="005C31A9">
      <w:pPr>
        <w:pStyle w:val="NormalWeb"/>
        <w:rPr>
          <w:rFonts w:asciiTheme="minorHAnsi" w:eastAsiaTheme="minorHAnsi" w:hAnsiTheme="minorHAnsi" w:cstheme="minorBidi"/>
          <w:sz w:val="22"/>
          <w:szCs w:val="22"/>
          <w:lang w:val="en-GB"/>
        </w:rPr>
      </w:pPr>
      <w:r w:rsidRPr="00051079">
        <w:rPr>
          <w:rFonts w:asciiTheme="minorHAnsi" w:eastAsiaTheme="minorHAnsi" w:hAnsiTheme="minorHAnsi" w:cstheme="minorBidi"/>
          <w:sz w:val="22"/>
          <w:szCs w:val="22"/>
          <w:lang w:val="en-GB"/>
        </w:rPr>
        <w:t xml:space="preserve">This model of development is no longer tenable. First, India can no longer rely only on exports and will have to look towards domestic demand to power its growth. And skewing income distribution away from 50% of the population will not help. Second, cities are unable to manage the influx of refugees from agriculture. Third, the Swaminathan report of 2006 clearly states that India’s food security cannot be achieved through imports, thus emphasizing the imperative of a healthy agricultural sector. Finally, from an ethical point of view, taking care of the big farmer who, unlike the corporate promoter, risks losing personal assets in the event of a default, is as important as taking care of the big businessman. </w:t>
      </w:r>
    </w:p>
    <w:p w14:paraId="5CFE4EDF" w14:textId="77777777" w:rsidR="00E84F47" w:rsidRDefault="00F10741" w:rsidP="005C31A9">
      <w:pPr>
        <w:pBdr>
          <w:bottom w:val="single" w:sz="12" w:space="1" w:color="auto"/>
        </w:pBdr>
      </w:pPr>
      <w:r>
        <w:t xml:space="preserve">In sum, structural problems in both the agricultural and corporate sector must be addressed with equal urgency. Empathizing with the corporate sector </w:t>
      </w:r>
      <w:r w:rsidR="00E84F47">
        <w:t xml:space="preserve">for its woes </w:t>
      </w:r>
      <w:r>
        <w:t>while deriding the farm sector</w:t>
      </w:r>
      <w:r w:rsidR="00E84F47">
        <w:t xml:space="preserve"> for its alleged profligacy is a recipe for pitting town versus country in a battle that no one can win.</w:t>
      </w:r>
    </w:p>
    <w:p w14:paraId="1E5B16EB" w14:textId="20FBFF3F" w:rsidR="00B07452" w:rsidRDefault="00F10741" w:rsidP="0013429C">
      <w:r>
        <w:lastRenderedPageBreak/>
        <w:t xml:space="preserve"> </w:t>
      </w:r>
    </w:p>
    <w:p w14:paraId="774937EC" w14:textId="77777777" w:rsidR="00B07452" w:rsidRDefault="00B07452">
      <w:r>
        <w:br w:type="page"/>
      </w:r>
    </w:p>
    <w:p w14:paraId="1581429C" w14:textId="7E7BDB37" w:rsidR="00B07452" w:rsidRDefault="00B07452" w:rsidP="0013429C">
      <w:pPr>
        <w:rPr>
          <w:b/>
        </w:rPr>
      </w:pPr>
      <w:r w:rsidRPr="00C844F5">
        <w:rPr>
          <w:b/>
        </w:rPr>
        <w:lastRenderedPageBreak/>
        <w:t>Appendix</w:t>
      </w:r>
    </w:p>
    <w:p w14:paraId="7095CA2F" w14:textId="77777777" w:rsidR="00C844F5" w:rsidRPr="00C844F5" w:rsidRDefault="00C844F5" w:rsidP="0013429C">
      <w:pPr>
        <w:rPr>
          <w:b/>
        </w:rPr>
      </w:pPr>
    </w:p>
    <w:p w14:paraId="66A53802" w14:textId="1FA1B6BF" w:rsidR="00B07452" w:rsidRDefault="00B07452" w:rsidP="0013429C">
      <w:r>
        <w:rPr>
          <w:noProof/>
          <w:lang w:val="en-US"/>
        </w:rPr>
        <w:drawing>
          <wp:inline distT="0" distB="0" distL="0" distR="0" wp14:anchorId="19EC6F11" wp14:editId="3B43248E">
            <wp:extent cx="5048250" cy="5224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832" t="17727" r="38953" b="6442"/>
                    <a:stretch/>
                  </pic:blipFill>
                  <pic:spPr bwMode="auto">
                    <a:xfrm>
                      <a:off x="0" y="0"/>
                      <a:ext cx="5069103" cy="5246250"/>
                    </a:xfrm>
                    <a:prstGeom prst="rect">
                      <a:avLst/>
                    </a:prstGeom>
                    <a:ln>
                      <a:noFill/>
                    </a:ln>
                    <a:extLst>
                      <a:ext uri="{53640926-AAD7-44D8-BBD7-CCE9431645EC}">
                        <a14:shadowObscured xmlns:a14="http://schemas.microsoft.com/office/drawing/2010/main"/>
                      </a:ext>
                    </a:extLst>
                  </pic:spPr>
                </pic:pic>
              </a:graphicData>
            </a:graphic>
          </wp:inline>
        </w:drawing>
      </w:r>
    </w:p>
    <w:p w14:paraId="3DDD63FE" w14:textId="77777777" w:rsidR="00B07452" w:rsidRDefault="00B07452" w:rsidP="0013429C"/>
    <w:p w14:paraId="6BA7A120" w14:textId="77777777" w:rsidR="00B07452" w:rsidRDefault="00B07452" w:rsidP="0013429C"/>
    <w:sectPr w:rsidR="00B0745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p" w:date="2019-01-28T15:29:00Z" w:initials="h">
    <w:p w14:paraId="5E080019" w14:textId="12DA84D9" w:rsidR="007263E8" w:rsidRDefault="007263E8">
      <w:pPr>
        <w:pStyle w:val="CommentText"/>
      </w:pPr>
      <w:r>
        <w:rPr>
          <w:rStyle w:val="CommentReference"/>
        </w:rPr>
        <w:annotationRef/>
      </w:r>
      <w:r>
        <w:t>Need reference</w:t>
      </w:r>
    </w:p>
  </w:comment>
  <w:comment w:id="2" w:author="hp" w:date="2019-01-28T15:43:00Z" w:initials="h">
    <w:p w14:paraId="775CB0B6" w14:textId="77777777" w:rsidR="005C31A9" w:rsidRPr="00CD6694" w:rsidRDefault="005C31A9" w:rsidP="005C31A9">
      <w:r>
        <w:rPr>
          <w:rStyle w:val="CommentReference"/>
        </w:rPr>
        <w:annotationRef/>
      </w:r>
      <w:r>
        <w:t>Etc.</w:t>
      </w:r>
    </w:p>
    <w:p w14:paraId="6D39D3E9" w14:textId="5E838A47" w:rsidR="005C31A9" w:rsidRDefault="005C31A9">
      <w:pPr>
        <w:pStyle w:val="CommentText"/>
      </w:pPr>
    </w:p>
  </w:comment>
  <w:comment w:id="3" w:author="hp" w:date="2019-01-28T15:47:00Z" w:initials="h">
    <w:p w14:paraId="223617BD" w14:textId="77777777" w:rsidR="005C31A9" w:rsidRPr="00CD6694" w:rsidRDefault="005C31A9" w:rsidP="005C31A9">
      <w:r>
        <w:rPr>
          <w:rStyle w:val="CommentReference"/>
        </w:rPr>
        <w:annotationRef/>
      </w:r>
      <w:r>
        <w:t>Etc.</w:t>
      </w:r>
    </w:p>
    <w:p w14:paraId="39F43E0A" w14:textId="69FCCC4A" w:rsidR="005C31A9" w:rsidRDefault="005C31A9">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080019" w15:done="0"/>
  <w15:commentEx w15:paraId="6D39D3E9" w15:done="0"/>
  <w15:commentEx w15:paraId="39F43E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080019" w16cid:durableId="1FFA5299"/>
  <w16cid:commentId w16cid:paraId="6D39D3E9" w16cid:durableId="1FFA529A"/>
  <w16cid:commentId w16cid:paraId="39F43E0A" w16cid:durableId="1FFA529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673"/>
    <w:multiLevelType w:val="hybridMultilevel"/>
    <w:tmpl w:val="9518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504B0"/>
    <w:multiLevelType w:val="hybridMultilevel"/>
    <w:tmpl w:val="D2AA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861"/>
    <w:rsid w:val="0003746D"/>
    <w:rsid w:val="00051079"/>
    <w:rsid w:val="00057906"/>
    <w:rsid w:val="000B7349"/>
    <w:rsid w:val="00104718"/>
    <w:rsid w:val="001155FA"/>
    <w:rsid w:val="00126B14"/>
    <w:rsid w:val="0013429C"/>
    <w:rsid w:val="001426DD"/>
    <w:rsid w:val="00161242"/>
    <w:rsid w:val="00161498"/>
    <w:rsid w:val="00194918"/>
    <w:rsid w:val="001C3528"/>
    <w:rsid w:val="001C3A0E"/>
    <w:rsid w:val="001D3969"/>
    <w:rsid w:val="00220A00"/>
    <w:rsid w:val="00290711"/>
    <w:rsid w:val="002912A2"/>
    <w:rsid w:val="002924B5"/>
    <w:rsid w:val="002A06A5"/>
    <w:rsid w:val="002A0B46"/>
    <w:rsid w:val="002C1300"/>
    <w:rsid w:val="002C4F48"/>
    <w:rsid w:val="002D0EAC"/>
    <w:rsid w:val="00306B51"/>
    <w:rsid w:val="00324D42"/>
    <w:rsid w:val="00354080"/>
    <w:rsid w:val="003630F4"/>
    <w:rsid w:val="003854BB"/>
    <w:rsid w:val="003A0071"/>
    <w:rsid w:val="003E24CD"/>
    <w:rsid w:val="003F1DBA"/>
    <w:rsid w:val="00403C4B"/>
    <w:rsid w:val="00440B50"/>
    <w:rsid w:val="00466992"/>
    <w:rsid w:val="0048739E"/>
    <w:rsid w:val="004A1B94"/>
    <w:rsid w:val="004B57CE"/>
    <w:rsid w:val="004B5BD7"/>
    <w:rsid w:val="004E3DA1"/>
    <w:rsid w:val="00501968"/>
    <w:rsid w:val="00522DFC"/>
    <w:rsid w:val="00524E4D"/>
    <w:rsid w:val="00592BBA"/>
    <w:rsid w:val="00595A27"/>
    <w:rsid w:val="005C31A9"/>
    <w:rsid w:val="005F65C4"/>
    <w:rsid w:val="00606570"/>
    <w:rsid w:val="00625304"/>
    <w:rsid w:val="0066273D"/>
    <w:rsid w:val="006A1E3B"/>
    <w:rsid w:val="006B44B8"/>
    <w:rsid w:val="006C2649"/>
    <w:rsid w:val="007263E8"/>
    <w:rsid w:val="00733297"/>
    <w:rsid w:val="00737EF8"/>
    <w:rsid w:val="00763864"/>
    <w:rsid w:val="00771605"/>
    <w:rsid w:val="00801A95"/>
    <w:rsid w:val="00821861"/>
    <w:rsid w:val="008251C0"/>
    <w:rsid w:val="00855112"/>
    <w:rsid w:val="008669E5"/>
    <w:rsid w:val="008802D0"/>
    <w:rsid w:val="0088124D"/>
    <w:rsid w:val="008B0FFC"/>
    <w:rsid w:val="008B1BFF"/>
    <w:rsid w:val="00916451"/>
    <w:rsid w:val="00921FE3"/>
    <w:rsid w:val="00972041"/>
    <w:rsid w:val="009E4442"/>
    <w:rsid w:val="00A20771"/>
    <w:rsid w:val="00A4303F"/>
    <w:rsid w:val="00A459D1"/>
    <w:rsid w:val="00A855D9"/>
    <w:rsid w:val="00AE2B6D"/>
    <w:rsid w:val="00AE41DA"/>
    <w:rsid w:val="00B07452"/>
    <w:rsid w:val="00B3065C"/>
    <w:rsid w:val="00B327C6"/>
    <w:rsid w:val="00B4706C"/>
    <w:rsid w:val="00BC7852"/>
    <w:rsid w:val="00BD2FD3"/>
    <w:rsid w:val="00BE14D1"/>
    <w:rsid w:val="00BE5D38"/>
    <w:rsid w:val="00BF4095"/>
    <w:rsid w:val="00C10273"/>
    <w:rsid w:val="00C436C8"/>
    <w:rsid w:val="00C47DBD"/>
    <w:rsid w:val="00C5618E"/>
    <w:rsid w:val="00C578D1"/>
    <w:rsid w:val="00C812A3"/>
    <w:rsid w:val="00C844F5"/>
    <w:rsid w:val="00CA05F8"/>
    <w:rsid w:val="00CA355D"/>
    <w:rsid w:val="00CD49A6"/>
    <w:rsid w:val="00CD6694"/>
    <w:rsid w:val="00D07B7D"/>
    <w:rsid w:val="00D474F7"/>
    <w:rsid w:val="00D54875"/>
    <w:rsid w:val="00D67C0E"/>
    <w:rsid w:val="00D93848"/>
    <w:rsid w:val="00DC042A"/>
    <w:rsid w:val="00DC2117"/>
    <w:rsid w:val="00DD4F76"/>
    <w:rsid w:val="00E06C0D"/>
    <w:rsid w:val="00E34835"/>
    <w:rsid w:val="00E36285"/>
    <w:rsid w:val="00E76A0B"/>
    <w:rsid w:val="00E84F47"/>
    <w:rsid w:val="00EA57AA"/>
    <w:rsid w:val="00EE7FBA"/>
    <w:rsid w:val="00F10741"/>
    <w:rsid w:val="00F61527"/>
    <w:rsid w:val="00F654B5"/>
    <w:rsid w:val="00FB6907"/>
    <w:rsid w:val="00FD6E08"/>
    <w:rsid w:val="00FE7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502F9"/>
  <w15:chartTrackingRefBased/>
  <w15:docId w15:val="{2CC1F3BC-95BF-4A17-8DB7-F7E364E6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A1B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C0E"/>
    <w:pPr>
      <w:ind w:left="720"/>
      <w:contextualSpacing/>
    </w:pPr>
  </w:style>
  <w:style w:type="table" w:styleId="TableGrid">
    <w:name w:val="Table Grid"/>
    <w:basedOn w:val="TableNormal"/>
    <w:uiPriority w:val="39"/>
    <w:rsid w:val="00D6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1B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4A1B9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D4F76"/>
    <w:rPr>
      <w:sz w:val="16"/>
      <w:szCs w:val="16"/>
    </w:rPr>
  </w:style>
  <w:style w:type="paragraph" w:styleId="CommentText">
    <w:name w:val="annotation text"/>
    <w:basedOn w:val="Normal"/>
    <w:link w:val="CommentTextChar"/>
    <w:uiPriority w:val="99"/>
    <w:semiHidden/>
    <w:unhideWhenUsed/>
    <w:rsid w:val="00DD4F76"/>
    <w:pPr>
      <w:spacing w:line="240" w:lineRule="auto"/>
    </w:pPr>
    <w:rPr>
      <w:sz w:val="20"/>
      <w:szCs w:val="20"/>
    </w:rPr>
  </w:style>
  <w:style w:type="character" w:customStyle="1" w:styleId="CommentTextChar">
    <w:name w:val="Comment Text Char"/>
    <w:basedOn w:val="DefaultParagraphFont"/>
    <w:link w:val="CommentText"/>
    <w:uiPriority w:val="99"/>
    <w:semiHidden/>
    <w:rsid w:val="00DD4F76"/>
    <w:rPr>
      <w:sz w:val="20"/>
      <w:szCs w:val="20"/>
    </w:rPr>
  </w:style>
  <w:style w:type="paragraph" w:styleId="CommentSubject">
    <w:name w:val="annotation subject"/>
    <w:basedOn w:val="CommentText"/>
    <w:next w:val="CommentText"/>
    <w:link w:val="CommentSubjectChar"/>
    <w:uiPriority w:val="99"/>
    <w:semiHidden/>
    <w:unhideWhenUsed/>
    <w:rsid w:val="00DD4F76"/>
    <w:rPr>
      <w:b/>
      <w:bCs/>
    </w:rPr>
  </w:style>
  <w:style w:type="character" w:customStyle="1" w:styleId="CommentSubjectChar">
    <w:name w:val="Comment Subject Char"/>
    <w:basedOn w:val="CommentTextChar"/>
    <w:link w:val="CommentSubject"/>
    <w:uiPriority w:val="99"/>
    <w:semiHidden/>
    <w:rsid w:val="00DD4F76"/>
    <w:rPr>
      <w:b/>
      <w:bCs/>
      <w:sz w:val="20"/>
      <w:szCs w:val="20"/>
    </w:rPr>
  </w:style>
  <w:style w:type="paragraph" w:styleId="BalloonText">
    <w:name w:val="Balloon Text"/>
    <w:basedOn w:val="Normal"/>
    <w:link w:val="BalloonTextChar"/>
    <w:uiPriority w:val="99"/>
    <w:semiHidden/>
    <w:unhideWhenUsed/>
    <w:rsid w:val="00DD4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F76"/>
    <w:rPr>
      <w:rFonts w:ascii="Segoe UI" w:hAnsi="Segoe UI" w:cs="Segoe UI"/>
      <w:sz w:val="18"/>
      <w:szCs w:val="18"/>
    </w:rPr>
  </w:style>
  <w:style w:type="character" w:customStyle="1" w:styleId="webrupee">
    <w:name w:val="webrupee"/>
    <w:basedOn w:val="DefaultParagraphFont"/>
    <w:rsid w:val="005C3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5029">
      <w:bodyDiv w:val="1"/>
      <w:marLeft w:val="0"/>
      <w:marRight w:val="0"/>
      <w:marTop w:val="0"/>
      <w:marBottom w:val="0"/>
      <w:divBdr>
        <w:top w:val="none" w:sz="0" w:space="0" w:color="auto"/>
        <w:left w:val="none" w:sz="0" w:space="0" w:color="auto"/>
        <w:bottom w:val="none" w:sz="0" w:space="0" w:color="auto"/>
        <w:right w:val="none" w:sz="0" w:space="0" w:color="auto"/>
      </w:divBdr>
    </w:div>
    <w:div w:id="422191707">
      <w:bodyDiv w:val="1"/>
      <w:marLeft w:val="0"/>
      <w:marRight w:val="0"/>
      <w:marTop w:val="0"/>
      <w:marBottom w:val="0"/>
      <w:divBdr>
        <w:top w:val="none" w:sz="0" w:space="0" w:color="auto"/>
        <w:left w:val="none" w:sz="0" w:space="0" w:color="auto"/>
        <w:bottom w:val="none" w:sz="0" w:space="0" w:color="auto"/>
        <w:right w:val="none" w:sz="0" w:space="0" w:color="auto"/>
      </w:divBdr>
    </w:div>
    <w:div w:id="136494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6.emf"/><Relationship Id="rId34" Type="http://schemas.microsoft.com/office/2016/09/relationships/commentsIds" Target="commentsId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microsoft.com/office/2011/relationships/commentsExtended" Target="commentsExtended.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comments" Target="comments.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0.emf"/><Relationship Id="rId30" Type="http://schemas.openxmlformats.org/officeDocument/2006/relationships/image" Target="media/image23.pn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99918-4520-4021-9531-5D69667E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3228</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Gupta</dc:creator>
  <cp:keywords/>
  <dc:description/>
  <cp:lastModifiedBy>hp</cp:lastModifiedBy>
  <cp:revision>12</cp:revision>
  <dcterms:created xsi:type="dcterms:W3CDTF">2019-01-29T07:01:00Z</dcterms:created>
  <dcterms:modified xsi:type="dcterms:W3CDTF">2019-01-29T09:39:00Z</dcterms:modified>
</cp:coreProperties>
</file>